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498" w:type="dxa"/>
        <w:jc w:val="start"/>
        <w:tblInd w:w="-142" w:type="dxa"/>
        <w:tblLayout w:type="fixed"/>
        <w:tblCellMar>
          <w:top w:w="0" w:type="dxa"/>
          <w:start w:w="108" w:type="dxa"/>
          <w:bottom w:w="0" w:type="dxa"/>
          <w:end w:w="108" w:type="dxa"/>
        </w:tblCellMar>
        <w:tblLook w:val="04a0" w:noHBand="0" w:noVBand="1" w:firstColumn="1" w:lastRow="0" w:lastColumn="0" w:firstRow="1"/>
      </w:tblPr>
      <w:tblGrid>
        <w:gridCol w:w="34"/>
        <w:gridCol w:w="2786"/>
        <w:gridCol w:w="1857"/>
        <w:gridCol w:w="4821"/>
      </w:tblGrid>
      <w:tr>
        <w:trPr>
          <w:trHeight w:val="1985" w:hRule="atLeast"/>
        </w:trPr>
        <w:tc>
          <w:tcPr>
            <w:tcW w:w="4677" w:type="dxa"/>
            <w:gridSpan w:val="3"/>
            <w:tcBorders>
              <w:top w:val="nil"/>
              <w:start w:val="nil"/>
              <w:bottom w:val="nil"/>
              <w:end w:val="nil"/>
            </w:tcBorders>
          </w:tcPr>
          <w:p>
            <w:pPr>
              <w:pStyle w:val="ng-star-inserted"/>
              <w:widowControl/>
              <w:spacing w:beforeAutospacing="0" w:before="0" w:afterAutospacing="0" w:after="0"/>
              <w:jc w:val="start"/>
              <w:rPr>
                <w:rStyle w:val="ng-star-inserted1"/>
                <w:rFonts w:eastAsia="" w:eastAsiaTheme="majorEastAsia"/>
              </w:rPr>
            </w:pPr>
            <w:r>
              <w:rPr>
                <w:rStyle w:val="ng-star-inserted1"/>
                <w:rFonts w:eastAsia="" w:eastAsiaTheme="majorEastAsia"/>
                <w:sz w:val="28"/>
                <w:szCs w:val="28"/>
                <w:lang w:val="en-US" w:eastAsia="en-US" w:bidi="ar-SA"/>
              </w:rPr>
              <w:t>ĐẢNG BỘ TỈNH ĐẮK LẮK</w:t>
            </w:r>
          </w:p>
          <w:p>
            <w:pPr>
              <w:pStyle w:val="ng-star-inserted"/>
              <w:widowControl/>
              <w:spacing w:beforeAutospacing="0" w:before="0" w:afterAutospacing="0" w:after="0"/>
              <w:jc w:val="start"/>
              <w:rPr>
                <w:sz w:val="28"/>
                <w:szCs w:val="28"/>
                <w:lang w:val="en-US" w:eastAsia="en-US" w:bidi="ar-SA"/>
              </w:rPr>
            </w:pPr>
            <w:r>
              <w:rPr>
                <w:rStyle w:val="ng-star-inserted1"/>
                <w:rFonts w:eastAsia="" w:eastAsiaTheme="majorEastAsia"/>
                <w:b/>
                <w:bCs/>
                <w:sz w:val="28"/>
                <w:szCs w:val="28"/>
                <w:lang w:val="en-US" w:eastAsia="en-US" w:bidi="ar-SA"/>
              </w:rPr>
              <w:t xml:space="preserve"> </w:t>
            </w:r>
            <w:r>
              <w:rPr>
                <w:rStyle w:val="ng-star-inserted1"/>
                <w:rFonts w:eastAsia="" w:eastAsiaTheme="majorEastAsia"/>
                <w:b/>
                <w:bCs/>
                <w:sz w:val="28"/>
                <w:szCs w:val="28"/>
                <w:lang w:val="en-US" w:eastAsia="en-US" w:bidi="ar-SA"/>
              </w:rPr>
              <w:t>ĐẢNG UỶ XÃ CƯ YANG</w:t>
            </w:r>
          </w:p>
          <w:p>
            <w:pPr>
              <w:pStyle w:val="ng-star-inserted"/>
              <w:widowControl/>
              <w:spacing w:beforeAutospacing="0" w:before="0" w:afterAutospacing="0" w:after="0"/>
              <w:jc w:val="start"/>
              <w:rPr>
                <w:sz w:val="28"/>
                <w:szCs w:val="28"/>
                <w:lang w:val="en-US" w:eastAsia="en-US" w:bidi="ar-SA"/>
              </w:rPr>
            </w:pPr>
            <w:r>
              <w:rPr>
                <w:rStyle w:val="ng-star-inserted1"/>
                <w:rFonts w:eastAsia="" w:eastAsiaTheme="majorEastAsia"/>
                <w:sz w:val="28"/>
                <w:szCs w:val="28"/>
                <w:lang w:val="en-US" w:eastAsia="en-US" w:bidi="ar-SA"/>
              </w:rPr>
              <w:t xml:space="preserve">                    </w:t>
            </w:r>
            <w:r>
              <w:rPr>
                <w:rStyle w:val="ng-star-inserted1"/>
                <w:rFonts w:eastAsia="" w:eastAsiaTheme="majorEastAsia"/>
                <w:sz w:val="28"/>
                <w:szCs w:val="28"/>
                <w:lang w:val="en-US" w:eastAsia="en-US" w:bidi="ar-SA"/>
              </w:rPr>
              <w:t>*</w:t>
            </w:r>
          </w:p>
          <w:p>
            <w:pPr>
              <w:pStyle w:val="ng-star-inserted"/>
              <w:widowControl/>
              <w:spacing w:beforeAutospacing="0" w:before="0" w:afterAutospacing="0" w:after="0"/>
              <w:jc w:val="start"/>
              <w:rPr>
                <w:sz w:val="28"/>
                <w:szCs w:val="28"/>
                <w:lang w:val="en-US" w:eastAsia="en-US" w:bidi="ar-SA"/>
              </w:rPr>
            </w:pPr>
            <w:r>
              <w:rPr>
                <w:rStyle w:val="ng-star-inserted1"/>
                <w:rFonts w:eastAsia="" w:eastAsiaTheme="majorEastAsia"/>
                <w:sz w:val="28"/>
                <w:szCs w:val="28"/>
                <w:lang w:val="en-US" w:eastAsia="en-US" w:bidi="ar-SA"/>
              </w:rPr>
              <w:t xml:space="preserve">         </w:t>
            </w:r>
            <w:r>
              <w:rPr>
                <w:rStyle w:val="ng-star-inserted1"/>
                <w:rFonts w:eastAsia="" w:eastAsiaTheme="majorEastAsia"/>
                <w:sz w:val="28"/>
                <w:szCs w:val="28"/>
                <w:lang w:val="en-US" w:eastAsia="en-US" w:bidi="ar-SA"/>
              </w:rPr>
              <w:t>Số       -CV/ĐU</w:t>
            </w:r>
          </w:p>
          <w:p>
            <w:pPr>
              <w:pStyle w:val="ng-star-inserted"/>
              <w:widowControl/>
              <w:spacing w:beforeAutospacing="0" w:before="0" w:afterAutospacing="0" w:after="0"/>
              <w:jc w:val="start"/>
              <w:rPr>
                <w:sz w:val="28"/>
                <w:szCs w:val="28"/>
                <w:lang w:val="en-US" w:eastAsia="en-US" w:bidi="ar-SA"/>
              </w:rPr>
            </w:pPr>
            <w:r>
              <w:rPr>
                <w:rStyle w:val="ng-star-inserted1"/>
                <w:rFonts w:eastAsia="" w:eastAsiaTheme="majorEastAsia"/>
                <w:i/>
                <w:iCs/>
                <w:sz w:val="24"/>
                <w:szCs w:val="28"/>
                <w:lang w:val="en-US" w:eastAsia="en-US" w:bidi="ar-SA"/>
              </w:rPr>
              <w:t xml:space="preserve">         </w:t>
            </w:r>
            <w:r>
              <w:rPr>
                <w:rStyle w:val="ng-star-inserted1"/>
                <w:rFonts w:eastAsia="" w:eastAsiaTheme="majorEastAsia"/>
                <w:i/>
                <w:iCs/>
                <w:sz w:val="24"/>
                <w:szCs w:val="28"/>
                <w:lang w:val="en-US" w:eastAsia="en-US" w:bidi="ar-SA"/>
              </w:rPr>
              <w:t>V/v triển khai</w:t>
            </w:r>
            <w:r>
              <w:rPr>
                <w:rStyle w:val="ng-star-inserted1"/>
                <w:rFonts w:eastAsia="" w:eastAsiaTheme="majorEastAsia"/>
                <w:i/>
                <w:iCs/>
                <w:sz w:val="24"/>
                <w:szCs w:val="24"/>
                <w:lang w:val="en-US" w:eastAsia="en-US" w:bidi="ar-SA"/>
              </w:rPr>
              <w:t xml:space="preserve"> công tác</w:t>
            </w:r>
          </w:p>
          <w:p>
            <w:pPr>
              <w:pStyle w:val="ng-star-inserted"/>
              <w:widowControl/>
              <w:spacing w:beforeAutospacing="0" w:before="0" w:afterAutospacing="0" w:after="0"/>
              <w:jc w:val="start"/>
              <w:rPr>
                <w:sz w:val="28"/>
                <w:szCs w:val="28"/>
                <w:lang w:val="en-US" w:eastAsia="en-US" w:bidi="ar-SA"/>
              </w:rPr>
            </w:pPr>
            <w:r>
              <w:rPr>
                <w:rStyle w:val="ng-star-inserted1"/>
                <w:rFonts w:eastAsia="" w:eastAsiaTheme="majorEastAsia"/>
                <w:i/>
                <w:iCs/>
                <w:sz w:val="24"/>
                <w:szCs w:val="24"/>
                <w:lang w:val="en-US" w:eastAsia="en-US" w:bidi="ar-SA"/>
              </w:rPr>
              <w:t xml:space="preserve"> </w:t>
            </w:r>
            <w:r>
              <w:rPr>
                <w:rStyle w:val="ng-star-inserted1"/>
                <w:rFonts w:eastAsia="" w:eastAsiaTheme="majorEastAsia"/>
                <w:i/>
                <w:iCs/>
                <w:sz w:val="24"/>
                <w:szCs w:val="24"/>
                <w:lang w:val="en-US" w:eastAsia="en-US" w:bidi="ar-SA"/>
              </w:rPr>
              <w:t>tuyên truyền miệng tháng 9/2026</w:t>
            </w:r>
          </w:p>
        </w:tc>
        <w:tc>
          <w:tcPr>
            <w:tcW w:w="4821" w:type="dxa"/>
            <w:tcBorders>
              <w:top w:val="nil"/>
              <w:start w:val="nil"/>
              <w:bottom w:val="nil"/>
              <w:end w:val="nil"/>
            </w:tcBorders>
          </w:tcPr>
          <w:p>
            <w:pPr>
              <w:pStyle w:val="ng-star-inserted"/>
              <w:widowControl/>
              <w:spacing w:beforeAutospacing="0" w:before="0" w:afterAutospacing="0" w:after="0"/>
              <w:jc w:val="end"/>
              <w:rPr>
                <w:rStyle w:val="ng-star-inserted1"/>
                <w:rFonts w:eastAsia="" w:eastAsiaTheme="majorEastAsia"/>
                <w:b/>
                <w:bCs/>
                <w:sz w:val="30"/>
                <w:szCs w:val="30"/>
              </w:rPr>
            </w:pPr>
            <w:r>
              <w:rPr>
                <w:rStyle w:val="ng-star-inserted1"/>
                <w:rFonts w:eastAsia="" w:eastAsiaTheme="majorEastAsia"/>
                <w:b/>
                <w:bCs/>
                <w:sz w:val="30"/>
                <w:szCs w:val="30"/>
                <w:lang w:val="en-US" w:eastAsia="en-US" w:bidi="ar-SA"/>
              </w:rPr>
              <w:t>ĐẢNG CỘNG SẢN VIỆT NAM</w:t>
            </w:r>
          </w:p>
          <w:p>
            <w:pPr>
              <w:pStyle w:val="ng-star-inserted"/>
              <w:widowControl/>
              <w:spacing w:beforeAutospacing="0" w:before="0" w:afterAutospacing="0" w:after="0"/>
              <w:jc w:val="end"/>
              <w:rPr>
                <w:rStyle w:val="ng-star-inserted1"/>
                <w:rFonts w:eastAsia="" w:eastAsiaTheme="majorEastAsia"/>
                <w:b/>
                <w:bCs/>
              </w:rPr>
            </w:pPr>
            <w:r>
              <w:rPr>
                <w:rFonts w:eastAsia="" w:eastAsiaTheme="majorEastAsia"/>
                <w:b/>
                <w:bCs/>
                <w:sz w:val="28"/>
                <w:szCs w:val="28"/>
                <w:lang w:val="en-US" w:eastAsia="en-US" w:bidi="ar-SA"/>
              </w:rPr>
              <mc:AlternateContent>
                <mc:Choice Requires="wps">
                  <w:drawing>
                    <wp:anchor behindDoc="0" distT="0" distB="19050" distL="0" distR="26670" simplePos="0" locked="0" layoutInCell="1" allowOverlap="1" relativeHeight="2" wp14:anchorId="4D9232BF">
                      <wp:simplePos x="0" y="0"/>
                      <wp:positionH relativeFrom="column">
                        <wp:posOffset>342265</wp:posOffset>
                      </wp:positionH>
                      <wp:positionV relativeFrom="paragraph">
                        <wp:posOffset>24765</wp:posOffset>
                      </wp:positionV>
                      <wp:extent cx="2545715" cy="0"/>
                      <wp:effectExtent l="635" t="3810" r="0" b="3810"/>
                      <wp:wrapNone/>
                      <wp:docPr id="1" name="Straight Connector 1"/>
                      <a:graphic xmlns:a="http://schemas.openxmlformats.org/drawingml/2006/main">
                        <a:graphicData uri="http://schemas.microsoft.com/office/word/2010/wordprocessingShape">
                          <wps:wsp>
                            <wps:cNvSpPr/>
                            <wps:spPr>
                              <a:xfrm>
                                <a:off x="0" y="0"/>
                                <a:ext cx="254556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26.95pt,1.95pt" to="227.35pt,1.95pt" stroked="t" o:allowincell="t" style="position:absolute" wp14:anchorId="4D9232BF">
                      <v:stroke color="black" weight="6480" joinstyle="miter" endcap="flat"/>
                      <v:fill o:detectmouseclick="t" on="false"/>
                      <w10:wrap type="none"/>
                    </v:line>
                  </w:pict>
                </mc:Fallback>
              </mc:AlternateContent>
            </w:r>
          </w:p>
          <w:p>
            <w:pPr>
              <w:pStyle w:val="ng-star-inserted"/>
              <w:widowControl/>
              <w:spacing w:beforeAutospacing="0" w:before="0" w:afterAutospacing="0" w:after="0"/>
              <w:jc w:val="end"/>
              <w:rPr>
                <w:rStyle w:val="ng-star-inserted1"/>
                <w:rFonts w:eastAsia="" w:eastAsiaTheme="majorEastAsia"/>
                <w:i/>
                <w:iCs/>
              </w:rPr>
            </w:pPr>
            <w:r>
              <w:rPr>
                <w:rStyle w:val="ng-star-inserted1"/>
                <w:rFonts w:eastAsia="" w:eastAsiaTheme="majorEastAsia"/>
                <w:i/>
                <w:iCs/>
                <w:sz w:val="28"/>
                <w:szCs w:val="28"/>
                <w:lang w:val="en-US" w:eastAsia="en-US" w:bidi="ar-SA"/>
              </w:rPr>
              <w:t>Cư Yang, ngày      tháng 8 năm 2026</w:t>
            </w:r>
          </w:p>
          <w:p>
            <w:pPr>
              <w:pStyle w:val="ng-star-inserted"/>
              <w:widowControl/>
              <w:spacing w:beforeAutospacing="0" w:before="0" w:afterAutospacing="0" w:after="0"/>
              <w:jc w:val="start"/>
              <w:rPr>
                <w:rStyle w:val="ng-star-inserted1"/>
                <w:rFonts w:eastAsia="" w:eastAsiaTheme="majorEastAsia"/>
              </w:rPr>
            </w:pPr>
            <w:r>
              <w:rPr>
                <w:rFonts w:eastAsia="" w:eastAsiaTheme="majorEastAsia"/>
                <w:sz w:val="28"/>
                <w:szCs w:val="28"/>
                <w:lang w:val="en-US" w:eastAsia="en-US" w:bidi="ar-SA"/>
              </w:rPr>
            </w:r>
          </w:p>
        </w:tc>
      </w:tr>
      <w:tr>
        <w:trPr/>
        <w:tc>
          <w:tcPr>
            <w:tcW w:w="34" w:type="dxa"/>
            <w:tcBorders>
              <w:top w:val="nil"/>
              <w:start w:val="nil"/>
              <w:bottom w:val="nil"/>
              <w:end w:val="nil"/>
            </w:tcBorders>
          </w:tcPr>
          <w:p>
            <w:pPr>
              <w:pStyle w:val="ng-star-inserted"/>
              <w:widowControl/>
              <w:spacing w:beforeAutospacing="0" w:before="0" w:afterAutospacing="0" w:after="0"/>
              <w:jc w:val="center"/>
              <w:rPr>
                <w:rStyle w:val="ng-star-inserted1"/>
                <w:rFonts w:eastAsia="" w:eastAsiaTheme="majorEastAsia"/>
                <w:i/>
                <w:iCs/>
              </w:rPr>
            </w:pPr>
            <w:r>
              <w:rPr>
                <w:sz w:val="28"/>
                <w:szCs w:val="28"/>
                <w:lang w:val="en-US" w:eastAsia="en-US" w:bidi="ar-SA"/>
              </w:rPr>
            </w:r>
          </w:p>
        </w:tc>
        <w:tc>
          <w:tcPr>
            <w:tcW w:w="2786" w:type="dxa"/>
            <w:tcBorders>
              <w:top w:val="nil"/>
              <w:start w:val="nil"/>
              <w:bottom w:val="nil"/>
              <w:end w:val="nil"/>
            </w:tcBorders>
          </w:tcPr>
          <w:p>
            <w:pPr>
              <w:pStyle w:val="ng-star-inserted"/>
              <w:widowControl/>
              <w:spacing w:beforeAutospacing="0" w:before="0" w:afterAutospacing="0" w:after="0"/>
              <w:jc w:val="center"/>
              <w:rPr>
                <w:rStyle w:val="ng-star-inserted1"/>
                <w:rFonts w:eastAsia="" w:eastAsiaTheme="majorEastAsia"/>
                <w:i/>
                <w:iCs/>
              </w:rPr>
            </w:pPr>
            <w:r>
              <w:rPr>
                <w:rStyle w:val="ng-star-inserted1"/>
                <w:rFonts w:eastAsia="" w:eastAsiaTheme="majorEastAsia"/>
                <w:i/>
                <w:iCs/>
                <w:sz w:val="28"/>
                <w:szCs w:val="28"/>
                <w:lang w:val="en-US" w:eastAsia="en-US" w:bidi="ar-SA"/>
              </w:rPr>
              <w:t xml:space="preserve">                   </w:t>
            </w:r>
          </w:p>
          <w:p>
            <w:pPr>
              <w:pStyle w:val="ng-star-inserted"/>
              <w:spacing w:beforeAutospacing="0" w:before="0" w:afterAutospacing="0" w:after="0"/>
              <w:jc w:val="center"/>
              <w:rPr>
                <w:rStyle w:val="ng-star-inserted1"/>
                <w:rFonts w:eastAsia="" w:eastAsiaTheme="majorEastAsia"/>
                <w:i/>
                <w:iCs/>
              </w:rPr>
            </w:pPr>
            <w:r>
              <w:rPr>
                <w:rStyle w:val="ng-star-inserted1"/>
                <w:rFonts w:eastAsia="" w:eastAsiaTheme="majorEastAsia"/>
                <w:i/>
                <w:iCs/>
              </w:rPr>
              <w:t xml:space="preserve">                   </w:t>
            </w:r>
            <w:r>
              <w:rPr>
                <w:rStyle w:val="ng-star-inserted1"/>
                <w:rFonts w:eastAsia="" w:eastAsiaTheme="majorEastAsia"/>
                <w:i/>
                <w:iCs/>
              </w:rPr>
              <w:t>Kính gửi:</w:t>
            </w:r>
          </w:p>
        </w:tc>
        <w:tc>
          <w:tcPr>
            <w:tcW w:w="6678" w:type="dxa"/>
            <w:gridSpan w:val="2"/>
            <w:tcBorders>
              <w:top w:val="nil"/>
              <w:start w:val="nil"/>
              <w:bottom w:val="nil"/>
              <w:end w:val="nil"/>
            </w:tcBorders>
          </w:tcPr>
          <w:p>
            <w:pPr>
              <w:pStyle w:val="ng-star-inserted"/>
              <w:widowControl/>
              <w:spacing w:beforeAutospacing="0" w:before="0" w:afterAutospacing="0" w:after="0"/>
              <w:jc w:val="start"/>
              <w:rPr>
                <w:rStyle w:val="ng-star-inserted1"/>
                <w:rFonts w:eastAsia="" w:eastAsiaTheme="majorEastAsia"/>
              </w:rPr>
            </w:pPr>
            <w:r>
              <w:rPr>
                <w:rFonts w:eastAsia="" w:eastAsiaTheme="majorEastAsia"/>
                <w:sz w:val="28"/>
                <w:szCs w:val="28"/>
                <w:lang w:val="en-US" w:eastAsia="en-US" w:bidi="ar-SA"/>
              </w:rPr>
            </w:r>
          </w:p>
          <w:p>
            <w:pPr>
              <w:pStyle w:val="ng-star-inserted"/>
              <w:widowControl/>
              <w:spacing w:beforeAutospacing="0" w:before="0" w:afterAutospacing="0" w:after="0"/>
              <w:jc w:val="start"/>
              <w:rPr>
                <w:rStyle w:val="ng-star-inserted1"/>
                <w:rFonts w:eastAsia="" w:eastAsiaTheme="majorEastAsia"/>
              </w:rPr>
            </w:pPr>
            <w:r>
              <w:rPr>
                <w:rStyle w:val="ng-star-inserted1"/>
                <w:rFonts w:eastAsia="" w:eastAsiaTheme="majorEastAsia"/>
                <w:sz w:val="28"/>
                <w:szCs w:val="28"/>
                <w:lang w:val="en-US" w:eastAsia="en-US" w:bidi="ar-SA"/>
              </w:rPr>
              <w:t>- Các đồng chí UV BTV, UVBCH Đảng uỷ,</w:t>
            </w:r>
          </w:p>
          <w:p>
            <w:pPr>
              <w:pStyle w:val="ng-star-inserted"/>
              <w:widowControl/>
              <w:spacing w:beforeAutospacing="0" w:before="0" w:afterAutospacing="0" w:after="0"/>
              <w:jc w:val="start"/>
              <w:rPr>
                <w:rStyle w:val="ng-star-inserted1"/>
                <w:rFonts w:eastAsia="" w:eastAsiaTheme="majorEastAsia"/>
              </w:rPr>
            </w:pPr>
            <w:r>
              <w:rPr>
                <w:rStyle w:val="ng-star-inserted1"/>
                <w:rFonts w:eastAsia="" w:eastAsiaTheme="majorEastAsia"/>
                <w:sz w:val="28"/>
                <w:szCs w:val="28"/>
                <w:lang w:val="en-US" w:eastAsia="en-US" w:bidi="ar-SA"/>
              </w:rPr>
              <w:t>- Các cơ quan tham mưu, giúp việc Đảng ủy,</w:t>
            </w:r>
          </w:p>
          <w:p>
            <w:pPr>
              <w:pStyle w:val="ng-star-inserted"/>
              <w:widowControl/>
              <w:spacing w:beforeAutospacing="0" w:before="0" w:afterAutospacing="0" w:after="0"/>
              <w:jc w:val="start"/>
              <w:rPr>
                <w:rStyle w:val="ng-star-inserted1"/>
                <w:rFonts w:eastAsia="" w:eastAsiaTheme="majorEastAsia"/>
              </w:rPr>
            </w:pPr>
            <w:r>
              <w:rPr>
                <w:rStyle w:val="ng-star-inserted1"/>
                <w:rFonts w:eastAsia="" w:eastAsiaTheme="majorEastAsia"/>
                <w:sz w:val="28"/>
                <w:szCs w:val="28"/>
                <w:lang w:val="en-US" w:eastAsia="en-US" w:bidi="ar-SA"/>
              </w:rPr>
              <w:t xml:space="preserve">- Ủy ban Mặt trận Tổ quốc Việt Nam xã và các tổ chức   </w:t>
            </w:r>
          </w:p>
          <w:p>
            <w:pPr>
              <w:pStyle w:val="ng-star-inserted"/>
              <w:widowControl/>
              <w:spacing w:beforeAutospacing="0" w:before="0" w:afterAutospacing="0" w:after="0"/>
              <w:jc w:val="start"/>
              <w:rPr>
                <w:rStyle w:val="ng-star-inserted1"/>
                <w:rFonts w:eastAsia="" w:eastAsiaTheme="majorEastAsia"/>
              </w:rPr>
            </w:pPr>
            <w:r>
              <w:rPr>
                <w:rStyle w:val="ng-star-inserted1"/>
                <w:rFonts w:eastAsia="" w:eastAsiaTheme="majorEastAsia"/>
                <w:sz w:val="28"/>
                <w:szCs w:val="28"/>
                <w:lang w:val="en-US" w:eastAsia="en-US" w:bidi="ar-SA"/>
              </w:rPr>
              <w:t xml:space="preserve">   </w:t>
            </w:r>
            <w:r>
              <w:rPr>
                <w:rStyle w:val="ng-star-inserted1"/>
                <w:rFonts w:eastAsia="" w:eastAsiaTheme="majorEastAsia"/>
                <w:sz w:val="28"/>
                <w:szCs w:val="28"/>
                <w:lang w:val="en-US" w:eastAsia="en-US" w:bidi="ar-SA"/>
              </w:rPr>
              <w:t>chính trị - xã hội,</w:t>
            </w:r>
          </w:p>
          <w:p>
            <w:pPr>
              <w:pStyle w:val="ng-star-inserted"/>
              <w:widowControl/>
              <w:spacing w:beforeAutospacing="0" w:before="0" w:afterAutospacing="0" w:after="0"/>
              <w:jc w:val="start"/>
              <w:rPr>
                <w:rStyle w:val="ng-star-inserted1"/>
                <w:rFonts w:eastAsia="" w:eastAsiaTheme="majorEastAsia"/>
              </w:rPr>
            </w:pPr>
            <w:r>
              <w:rPr>
                <w:rStyle w:val="ng-star-inserted1"/>
                <w:rFonts w:eastAsia="" w:eastAsiaTheme="majorEastAsia"/>
                <w:sz w:val="28"/>
                <w:szCs w:val="28"/>
                <w:lang w:val="en-US" w:eastAsia="en-US" w:bidi="ar-SA"/>
              </w:rPr>
              <w:t>- Các phòng, ban chuyên môn của UBND xã,</w:t>
            </w:r>
          </w:p>
          <w:p>
            <w:pPr>
              <w:pStyle w:val="Normal"/>
              <w:widowControl/>
              <w:spacing w:lineRule="auto" w:line="240" w:before="0" w:after="0"/>
              <w:jc w:val="start"/>
              <w:rPr>
                <w:rStyle w:val="ng-star-inserted1"/>
              </w:rPr>
            </w:pPr>
            <w:r>
              <w:rPr>
                <w:rStyle w:val="ng-star-inserted1"/>
                <w:rFonts w:eastAsia="Calibri" w:cs="Times New Roman" w:ascii="Times New Roman" w:hAnsi="Times New Roman"/>
                <w:kern w:val="0"/>
                <w:sz w:val="28"/>
                <w:szCs w:val="28"/>
                <w:lang w:val="en-US" w:eastAsia="en-US" w:bidi="ar-SA"/>
              </w:rPr>
              <w:t xml:space="preserve">- </w:t>
            </w:r>
            <w:r>
              <w:rPr>
                <w:rFonts w:eastAsia="Calibri" w:cs="Times New Roman" w:ascii="Times New Roman" w:hAnsi="Times New Roman"/>
                <w:kern w:val="0"/>
                <w:sz w:val="28"/>
                <w:szCs w:val="28"/>
                <w:lang w:val="en-US" w:eastAsia="en-US" w:bidi="ar-SA"/>
              </w:rPr>
              <w:t>Cấp uỷ các Chi bộ.</w:t>
            </w:r>
          </w:p>
        </w:tc>
      </w:tr>
    </w:tbl>
    <w:p>
      <w:pPr>
        <w:pStyle w:val="ng-star-inserted"/>
        <w:spacing w:beforeAutospacing="0" w:before="0" w:afterAutospacing="0" w:after="0"/>
        <w:rPr>
          <w:rStyle w:val="ng-star-inserted1"/>
          <w:rFonts w:eastAsia="" w:eastAsiaTheme="majorEastAsia"/>
          <w:sz w:val="28"/>
          <w:szCs w:val="28"/>
        </w:rPr>
      </w:pPr>
      <w:r>
        <w:rPr>
          <w:rFonts w:eastAsia="" w:eastAsiaTheme="majorEastAsia"/>
          <w:sz w:val="28"/>
          <w:szCs w:val="28"/>
        </w:rPr>
      </w:r>
    </w:p>
    <w:p>
      <w:pPr>
        <w:pStyle w:val="Normal"/>
        <w:spacing w:lineRule="exact" w:line="360" w:before="120" w:after="12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Căn cứ Công văn số 986-CV/BTGDVTU, ngày 25/8/2026 của Ban Tuyên giáo Dân vận Tỉnh uỷ về việc định hướng công tác tuyên truyền miệng tháng 9/2026.</w:t>
      </w:r>
    </w:p>
    <w:p>
      <w:pPr>
        <w:pStyle w:val="Normal"/>
        <w:spacing w:lineRule="exact" w:line="360" w:before="120" w:after="120"/>
        <w:ind w:firstLine="567"/>
        <w:jc w:val="both"/>
        <w:rPr>
          <w:rStyle w:val="ng-star-inserted1"/>
          <w:rFonts w:ascii="Times New Roman" w:hAnsi="Times New Roman" w:cs="Times New Roman"/>
          <w:sz w:val="28"/>
          <w:szCs w:val="28"/>
        </w:rPr>
      </w:pPr>
      <w:r>
        <w:rPr>
          <w:rStyle w:val="ng-star-inserted1"/>
          <w:rFonts w:cs="Times New Roman" w:ascii="Times New Roman" w:hAnsi="Times New Roman"/>
          <w:sz w:val="28"/>
          <w:szCs w:val="28"/>
        </w:rPr>
        <w:t>Ban Thường vụ Đảng ủy đề nghị thủ trưởng các cơ quan, đơn vị, cấp uỷ các Chi bộ triển khai thực hiện công tác tuyên truyền miệng tháng 9/2026, tập trung vào một số nội dung trọng tâm sau:</w:t>
      </w:r>
    </w:p>
    <w:p>
      <w:pPr>
        <w:pStyle w:val="Normal"/>
        <w:spacing w:lineRule="exact" w:line="360" w:before="120" w:after="120"/>
        <w:ind w:firstLine="567"/>
        <w:jc w:val="both"/>
        <w:rPr>
          <w:rFonts w:ascii="Times New Roman" w:hAnsi="Times New Roman" w:cs="Times New Roman"/>
          <w:sz w:val="28"/>
          <w:szCs w:val="28"/>
        </w:rPr>
      </w:pPr>
      <w:r>
        <w:rPr>
          <w:rFonts w:cs="Times New Roman" w:ascii="Times New Roman" w:hAnsi="Times New Roman"/>
          <w:b/>
          <w:bCs/>
          <w:sz w:val="28"/>
          <w:szCs w:val="28"/>
        </w:rPr>
        <w:t>1. Công tác xây dựng Đảng và hệ thống chính trị </w:t>
      </w:r>
    </w:p>
    <w:p>
      <w:pPr>
        <w:pStyle w:val="NormalWeb"/>
        <w:spacing w:lineRule="exact" w:line="360" w:beforeAutospacing="0" w:before="120" w:afterAutospacing="0" w:after="120"/>
        <w:ind w:firstLine="567" w:end="146"/>
        <w:jc w:val="both"/>
        <w:rPr/>
      </w:pPr>
      <w:r>
        <w:rPr>
          <w:b/>
          <w:bCs/>
          <w:sz w:val="28"/>
          <w:szCs w:val="28"/>
        </w:rPr>
        <w:t xml:space="preserve">- </w:t>
      </w:r>
      <w:r>
        <w:rPr>
          <w:i/>
          <w:iCs/>
          <w:sz w:val="28"/>
          <w:szCs w:val="28"/>
        </w:rPr>
        <w:t xml:space="preserve">Tiếp tục đẩy mạnh tuyên truyền Nghị quyết và các văn kiện Hội nghị lần thứ 3 Ban Chấp hành Trung ương Đảng khóa XIV; </w:t>
      </w:r>
      <w:r>
        <w:rPr>
          <w:sz w:val="28"/>
          <w:szCs w:val="28"/>
        </w:rPr>
        <w:t xml:space="preserve">trọng tâm là việc cụ thể hóa, tổ chức thực hiện tại các cấp, các ngành, địa phương; bám sát các yêu cầu của đồng chí Tổng Bí thư, Chủ tịch nước Tô Lâm, tập trung vào 5 nội dung: </w:t>
      </w:r>
      <w:r>
        <w:rPr>
          <w:i/>
          <w:iCs/>
          <w:sz w:val="28"/>
          <w:szCs w:val="28"/>
        </w:rPr>
        <w:t xml:space="preserve">(i) </w:t>
      </w:r>
      <w:r>
        <w:rPr>
          <w:sz w:val="28"/>
          <w:szCs w:val="28"/>
        </w:rPr>
        <w:t xml:space="preserve">Thống nhất nhận thức, nắm vững tư tưởng chỉ đạo, những điểm mới và mối quan hệ hữu cơ giữa các quyết sách, bước chuyển chiến lược của Trung ương; hiểu đúng để hành động thống nhất; </w:t>
      </w:r>
      <w:r>
        <w:rPr>
          <w:i/>
          <w:iCs/>
          <w:sz w:val="28"/>
          <w:szCs w:val="28"/>
        </w:rPr>
        <w:t xml:space="preserve">(ii) </w:t>
      </w:r>
      <w:r>
        <w:rPr>
          <w:sz w:val="28"/>
          <w:szCs w:val="28"/>
        </w:rPr>
        <w:t xml:space="preserve">Khẩn trương cụ thể hóa đồng bộ các quyết sách thành chương trình, kế hoạch hành động sát thực tiễn, có trọng tâm, trọng điểm, rõ thứ tự ưu tiên và liên thông giữa các nhiệm vụ; </w:t>
      </w:r>
      <w:r>
        <w:rPr>
          <w:i/>
          <w:iCs/>
          <w:sz w:val="28"/>
          <w:szCs w:val="28"/>
        </w:rPr>
        <w:t xml:space="preserve">(iii) </w:t>
      </w:r>
      <w:r>
        <w:rPr>
          <w:sz w:val="28"/>
          <w:szCs w:val="28"/>
        </w:rPr>
        <w:t xml:space="preserve">Nâng cao năng lực tổ chức thực hiện, bảo đảm đầy đủ các điều kiện thi hành để hệ thống chính trị vận hành thông suốt, tương tác hiệu quả; </w:t>
      </w:r>
      <w:r>
        <w:rPr>
          <w:i/>
          <w:iCs/>
          <w:sz w:val="28"/>
          <w:szCs w:val="28"/>
        </w:rPr>
        <w:t xml:space="preserve">(iv) </w:t>
      </w:r>
      <w:r>
        <w:rPr>
          <w:sz w:val="28"/>
          <w:szCs w:val="28"/>
        </w:rPr>
        <w:t xml:space="preserve">Tiếp tục xây dựng đội ngũ cán bộ đủ phẩm chất, năng lực, uy tín, ngang tầm nhiệm vụ; đề cao trách nhiệm nêu gương và vai trò quyết định của người đứng đầu; </w:t>
      </w:r>
      <w:r>
        <w:rPr>
          <w:i/>
          <w:iCs/>
          <w:sz w:val="28"/>
          <w:szCs w:val="28"/>
        </w:rPr>
        <w:t xml:space="preserve">(v) </w:t>
      </w:r>
      <w:r>
        <w:rPr>
          <w:sz w:val="28"/>
          <w:szCs w:val="28"/>
        </w:rPr>
        <w:t>Thiết lập kỷ luật thực thi nghiêm minh; tăng cường kiểm tra, giám sát, thông tin, tuyên truyền và đánh giá bằng dữ liệu, sản phẩm, kết quả thực tế; lấy lợi ích và sự hài lòng của Nhân dân làm thước đo cuối cùng. </w:t>
      </w:r>
    </w:p>
    <w:p>
      <w:pPr>
        <w:pStyle w:val="NormalWeb"/>
        <w:spacing w:lineRule="exact" w:line="360" w:beforeAutospacing="0" w:before="120" w:afterAutospacing="0" w:after="120"/>
        <w:ind w:firstLine="567" w:end="146"/>
        <w:jc w:val="both"/>
        <w:rPr/>
      </w:pPr>
      <w:r>
        <w:rPr>
          <w:sz w:val="28"/>
          <w:szCs w:val="28"/>
        </w:rPr>
        <w:t>Chú trọng thông tin, phản ánh tiến độ, chất lượng, hiệu quả thực hiện của các cấp, các ngành, địa phương; nhất là với những nhiệm vụ trọng tâm; đề cao tinh thần chủ động, sáng tạo trong quá trình triển khai và sự lãnh đạo, chỉ đạo sát sao, quyết liệt của các cấp ủy, chính quyền để đưa các quyết sách của Trung ương nhanh chóng đi vào cuộc sống. Tăng cường, chủ động nắm bắt tình hình tư tưởng của cán bộ, đảng viên và dư luận xã hội; chủ động đấu tranh phản bác các thông tin sai trái, xuyên tạc, lợi dụng những khó khăn, vướng mắc, vấn đề phát sinh trong quá trình triển khai nghị quyết để gây hoài nghi, chia rẽ, làm suy giảm niềm tin.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 xml:space="preserve">Tiếp tục tuyên truyền, quán triệt Chỉ thị số 07-CT/TW, ngày 13/7/2026 của Bộ Chính trị về “Đẩy mạnh học tập, thực hành tư tưởng, đạo đức, phương pháp, phong cách Hồ Chí Minh trong giai đoạn phát triển mới”, </w:t>
      </w:r>
      <w:r>
        <w:rPr>
          <w:sz w:val="28"/>
          <w:szCs w:val="28"/>
        </w:rPr>
        <w:t>tạo sự thống nhất trong nhận thức và hành động, nâng cao trách nhiệm của các cấp ủy, tổ chức đảng, chính quyền, Mặt trận Tổ quốc, các tổ chức chính trị - xã hội và cán bộ, đảng viên trong triển khai thực hiện Chỉ thị. Nhấn mạnh việc đưa nội dung Chỉ thị vào chương trình công tác thường xuyên của các cấp, các ngành, cơ quan, đơn vị; gắn việc học tập, thực hành với công tác xây dựng, chỉnh đốn Đảng và hệ thống chính trị, các nhiệm vụ chính trị trọng tâm, các đột phá chiến lược, mục tiêu phát triển của từng địa phương, bộ, ngành, cơ quan, đơn vị và các phong trào thi đua yêu nước, góp phần thực hiện thắng lợi các mục tiêu, nhiệm vụ trong giai đoạn phát triển mới. Đấu tranh phản bác các quan điểm sai trái, xuyên tạc cuộc đời, thân thế và sự nghiệp cách mạng của Chủ tịch Hồ Chí Minh.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Tuyên truyền kết quả Kỳ họp không thường lệ thứ Nhất, Quốc hội khóa XVI</w:t>
      </w:r>
      <w:r>
        <w:rPr>
          <w:sz w:val="28"/>
          <w:szCs w:val="28"/>
        </w:rPr>
        <w:t>, làm rõ tinh thần chủ động, quyết liệt, trách nhiệm của Quốc hội trong kịp thời thể chế hóa các chủ trương, quyết sách của Đảng, nhất là các nội dung Hội nghị lần thứ 3 Ban Chấp  hành Trung ương Đảng khóa XIV; đáp ứng yêu cầu cấp bách của thực tiễn, tạo cơ sở pháp lý thúc đẩy phát triển nhanh, bền vững đất nước. Thông tin đầy đủ, sâu sắc về các luật, nghị quyết và những vấn đề quan trọng được Quốc hội xem xét, quyết định; nhấn mạnh yêu cầu tiếp tục đổi mới mạnh mẽ tư duy xây dựng pháp luật, bảo đảm chính sách, pháp luật bám sát thực tiễn, đi trước, mở đường cho phát triển, lấy người dân và doanh nghiệp làm trung tâm, lấy chất lượng, hiệu quả thực thi của hệ thống pháp luật làm thước đo. Làm rõ trách nhiệm tổ chức thi hành sau Kỳ họp, bảo đảm các luật, nghị quyết sớm đi vào cuộc sống, không để thể chế trở thành điểm nghẽn, góp phần thực hiện thắng lợi các mục tiêu phát triển kinh tế - xã hội năm 2026 và những năm tiếp theo.  </w:t>
      </w:r>
    </w:p>
    <w:p>
      <w:pPr>
        <w:pStyle w:val="NormalWeb"/>
        <w:spacing w:lineRule="exact" w:line="360" w:beforeAutospacing="0" w:before="120" w:afterAutospacing="0" w:after="120"/>
        <w:ind w:firstLine="567" w:end="146"/>
        <w:jc w:val="both"/>
        <w:rPr>
          <w:spacing w:val="-2"/>
        </w:rPr>
      </w:pPr>
      <w:r>
        <w:rPr>
          <w:spacing w:val="-2"/>
          <w:sz w:val="28"/>
          <w:szCs w:val="28"/>
        </w:rPr>
        <w:t>Tiếp tục tuyên truyền những quyết sách nhằm tháo gỡ các điểm nghẽn, hoàn thiện môi trường đầu tư, kinh doanh, cắt giảm thủ tục hành chính và chi phí tuân thủ; thúc đẩy khoa học, công nghệ, đổi mới sáng tạo, chuyển đổi số; khơi thông, huy động và sử dụng hiệu quả các nguồn lực, hình thành các động lực tăng trưởng mới; hoàn thiện cơ sở pháp lý phục vụ vận hành hiệu quả bộ máy nhà nước, đẩy mạnh phân cấp, phân quyền gắn với bảo đảm nguồn lực và điều kiện thực hiện.  </w:t>
      </w:r>
    </w:p>
    <w:p>
      <w:pPr>
        <w:pStyle w:val="NormalWeb"/>
        <w:spacing w:lineRule="exact" w:line="360" w:beforeAutospacing="0" w:before="120" w:afterAutospacing="0" w:after="120"/>
        <w:ind w:firstLine="567" w:end="146"/>
        <w:jc w:val="both"/>
        <w:rPr>
          <w:sz w:val="28"/>
          <w:szCs w:val="28"/>
        </w:rPr>
      </w:pPr>
      <w:r>
        <w:rPr>
          <w:sz w:val="28"/>
          <w:szCs w:val="28"/>
        </w:rPr>
        <w:t xml:space="preserve">- </w:t>
      </w:r>
      <w:r>
        <w:rPr>
          <w:i/>
          <w:iCs/>
          <w:sz w:val="28"/>
          <w:szCs w:val="28"/>
        </w:rPr>
        <w:t xml:space="preserve">Tiếp tục tuyên truyền các nhiệm vụ, giải pháp vận hành mô hình tổ chức tổng thể của hệ thống chính trị và chính quyền địa phương 2 cấp; </w:t>
      </w:r>
      <w:r>
        <w:rPr>
          <w:sz w:val="28"/>
          <w:szCs w:val="28"/>
        </w:rPr>
        <w:t xml:space="preserve">phản ánh kết quả của việc nâng cao hiệu lực, hiệu quả hoạt động của chính quyền các cấp, bảo đảm bộ máy sau sắp xếp vận hành ổn định, thông suốt, rõ chức năng, nhiệm vụ, trách nhiệm, lấy người dân và doanh nghiệp làm trung tâm phục vụ. Phản ánh nỗ lực của các cấp, các ngành trong việc hoàn thiện quy chế, quy trình nội bộ, phân cấp, phân quyền, phân định thẩm quyền, nâng cao chất lượng dịch vụ công, kỷ luật, kỷ cương hành chính và năng lực cán bộ cơ sở; kịp thời tháo gỡ khó khăn, vướng mắc trong quản lý nhà nước, thủ tục hành chính, đầu tư công, sản xuất, kinh doanh, an sinh xã hội, bồi thường, giải phóng mặt bằng, quản lý tài sản công và triển khai các dự án trọng điểm. Tuyên truyền việc thực hiện </w:t>
      </w:r>
      <w:r>
        <w:rPr>
          <w:i/>
          <w:iCs/>
          <w:sz w:val="28"/>
          <w:szCs w:val="28"/>
        </w:rPr>
        <w:t>“Năm nâng cao chất lượng cán bộ cơ sở</w:t>
      </w:r>
      <w:r>
        <w:rPr>
          <w:sz w:val="28"/>
          <w:szCs w:val="28"/>
        </w:rPr>
        <w:t>”, tăng cường, thực hiện chính sách đối với cán bộ cơ sở, thúc đẩy thực hiện Nghị quyết số 57-NQ/TW tại cơ sở; đề cao trách nhiệm người đứng đầu, thực hiện đánh giá, xếp loại chất lượng cán bộ lãnh đạo, quản lý hằng quý bảo đảm thực chất, khách quan. Đẩy mạnh tuyên truyền triển khai các nhiệm vụ, giải pháp tại Kết luận số 78-KL/TW ngày 28/7/2026 của Bộ Chính  trị, Ban Bí thư, góp phần xây dựng tổ chức cơ sở đảng thực sự là hạt nhân chính trị, trung tâm đoàn kết, quy tụ, phát huy sức mạnh của cán bộ, đảng viên và Nhân dân. </w:t>
      </w:r>
    </w:p>
    <w:p>
      <w:pPr>
        <w:pStyle w:val="NormalWeb"/>
        <w:spacing w:lineRule="exact" w:line="360" w:beforeAutospacing="0" w:before="120" w:afterAutospacing="0" w:after="120"/>
        <w:ind w:firstLine="567" w:end="146"/>
        <w:jc w:val="both"/>
        <w:rPr>
          <w:sz w:val="28"/>
          <w:szCs w:val="28"/>
        </w:rPr>
      </w:pPr>
      <w:r>
        <w:rPr>
          <w:sz w:val="28"/>
          <w:szCs w:val="28"/>
        </w:rPr>
        <w:t>Tập trung tuyên truyền sâu rộng kết quả 1 năm vận hành mô hình tổ chức tổng thể của hệ thống chính trị và mô hình chính quyền 3 cấp, chính quyền địa phương 2 cấp trên địa bàn tỉnh (theo Kế hoạch số 111-KH/TU, ngày 07/8/2026 của Ban Thường vụ Tỉnh ủy).</w:t>
      </w:r>
    </w:p>
    <w:p>
      <w:pPr>
        <w:pStyle w:val="NormalWeb"/>
        <w:spacing w:lineRule="exact" w:line="360" w:beforeAutospacing="0" w:before="120" w:afterAutospacing="0" w:after="120"/>
        <w:ind w:firstLine="567" w:end="146"/>
        <w:jc w:val="both"/>
        <w:rPr>
          <w:spacing w:val="-2"/>
        </w:rPr>
      </w:pPr>
      <w:r>
        <w:rPr>
          <w:spacing w:val="-2"/>
          <w:sz w:val="28"/>
          <w:szCs w:val="28"/>
        </w:rPr>
        <w:t xml:space="preserve">- </w:t>
      </w:r>
      <w:r>
        <w:rPr>
          <w:i/>
          <w:iCs/>
          <w:spacing w:val="-2"/>
          <w:sz w:val="28"/>
          <w:szCs w:val="28"/>
        </w:rPr>
        <w:t>Tuyên truyền sâu sắc ý nghĩa, tầm quan trọng đặc biệt của việc tổng kết thực tiễn và nghiên cứu sửa đổi, bổ sung Điều lệ Đảng trong nhiệm kỳ Đại hội XIV theo</w:t>
      </w:r>
      <w:r>
        <w:rPr>
          <w:spacing w:val="-2"/>
          <w:sz w:val="28"/>
          <w:szCs w:val="28"/>
        </w:rPr>
        <w:t> </w:t>
      </w:r>
      <w:r>
        <w:rPr>
          <w:i/>
          <w:iCs/>
          <w:spacing w:val="-2"/>
          <w:sz w:val="28"/>
          <w:szCs w:val="28"/>
        </w:rPr>
        <w:t xml:space="preserve">Thông báo số 140-TB/VPTW, ngày 08/8/2026 về kết luận của Tổng Bí thư, Chủ tịch  nước Tô Lâm, Trưởng Ban Chỉ đạo, tại Kỳ họp thứ nhất Ban Chỉ đạo Trung ương về tổng kết thực tiễn và nghiên cứu sửa đổi, bổ sung Điều lệ Đảng; </w:t>
      </w:r>
      <w:r>
        <w:rPr>
          <w:spacing w:val="-2"/>
          <w:sz w:val="28"/>
          <w:szCs w:val="28"/>
        </w:rPr>
        <w:t>làm rõ đây là nhiệm vụ trực tiếp phục vụ sửa đổi, bổ sung Cương lĩnh chính trị và chuẩn bị Đại hội XV của Đảng, nhằm cung cấp đầy đủ cơ sở chính trị, pháp lý, lý luận và thực tiễn để tiếp tục hoàn thiện Điều lệ Đảng khoa học, chặt chẽ, ổn định, phù hợp với yêu cầu xây dựng, chỉnh đốn Đảng và phương thức lãnh đạo, cầm quyền của Đảng trong giai đoạn mới. Đặt trong tổng thể các công việc lớn chuẩn bị Đại hội XV của Đảng, gắn với tổng kết 100 năm Đảng lãnh đạo cách mạng Việt Nam, định hướng lãnh đạo phát triển đất nước trong 100 năm tiếp theo và tổng kết 40 năm thực hiện Cương lĩnh xây dựng đất nước trong thời kỳ quá độ lên chủ nghĩa xã hội.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Tiếp tục đẩy mạnh tuyên truyền công tác phòng, chống tham nhũng, lãng phí, tiêu cực</w:t>
      </w:r>
      <w:r>
        <w:rPr>
          <w:sz w:val="28"/>
          <w:szCs w:val="28"/>
        </w:rPr>
        <w:t>, việc cụ thể hóa, tổ chức thực hiện Nghị quyết số 04-NQ/TW, ngày 01/4/2026 của Ban Chấp hành Trung ương Đảng khóa XIV, Kế hoạch số 03-KH/TW, ngày 18/5/2026 của Bộ Chính trị và các kết luận của đồng chí Tổng Bí thư, Chủ tịch nước, Trưởng Ban Chỉ đạo Trung ương về phòng, chống tham nhũng, lãng phí, tiêu cực tại các Phiên họp của Ban Chỉ đạo. Khẳng định quyết tâm kiên quyết, kiên trì đấu tranh phòng, chống tham nhũng, lãng phí, tiêu cực gắn với tháo gỡ khó khăn, khơi thông nguồn lực, thúc đẩy phát triển của toàn Đảng, toàn quân, toàn dân.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Tuyên truyền tổ chức thực hiện hiệu quả Chỉ thị số 09-CT/TW, ngày 20/7/2026 của Bộ Chính trị về tăng cường sự lãnh đạo của Đảng đối với việc thực hiện dân chủ ở</w:t>
      </w:r>
      <w:r>
        <w:rPr/>
        <w:t xml:space="preserve"> </w:t>
      </w:r>
      <w:r>
        <w:rPr>
          <w:i/>
          <w:iCs/>
          <w:sz w:val="28"/>
          <w:szCs w:val="28"/>
        </w:rPr>
        <w:t>cơ sở trong giai đoạn mới và Chỉ thị số 11-CT/TW, ngày 20/7/2026 của Bộ Chính trị về tăng cường sự lãnh đạo của Đảng và phát huy vai trò của các hội quần chúng trong giai đoạn phát triển mới</w:t>
      </w:r>
      <w:r>
        <w:rPr>
          <w:sz w:val="28"/>
          <w:szCs w:val="28"/>
        </w:rPr>
        <w:t>; gắn với yêu cầu tổ chức thực hiện các nhiệm vụ công tác dân vận theo mô hình mới sau khi hoàn thành việc chuyển giao, sắp xếp chức năng, nhiệm vụ tham mưu về công tác dân vận; phát huy vai trò của Mặt trận Tổ quốc, các tổ chức chính trị - xã hội và các hội quần chúng trong tình hình mới. </w:t>
      </w:r>
    </w:p>
    <w:p>
      <w:pPr>
        <w:pStyle w:val="NormalWeb"/>
        <w:spacing w:lineRule="exact" w:line="360" w:beforeAutospacing="0" w:before="120" w:afterAutospacing="0" w:after="120"/>
        <w:ind w:firstLine="567" w:end="146"/>
        <w:jc w:val="both"/>
        <w:rPr/>
      </w:pPr>
      <w:r>
        <w:rPr>
          <w:b/>
          <w:bCs/>
          <w:sz w:val="28"/>
          <w:szCs w:val="28"/>
        </w:rPr>
        <w:t xml:space="preserve">2. Tình hình, kết quả và nhiệm vụ phát triển kinh tế - xã hội </w:t>
      </w:r>
    </w:p>
    <w:p>
      <w:pPr>
        <w:pStyle w:val="NormalWeb"/>
        <w:spacing w:lineRule="exact" w:line="360" w:beforeAutospacing="0" w:before="120" w:afterAutospacing="0" w:after="120"/>
        <w:ind w:firstLine="567" w:end="146"/>
        <w:jc w:val="both"/>
        <w:rPr/>
      </w:pPr>
      <w:r>
        <w:rPr>
          <w:sz w:val="28"/>
          <w:szCs w:val="28"/>
        </w:rPr>
        <w:t xml:space="preserve">- Tuyên truyền quyết tâm, nỗ lực của Chính phủ, Thủ tướng Chính phủ, các bộ, ngành, địa phương trong chỉ đạo, điều hành phát triển kinh tế - xã hội những tháng cuối năm 2026, gắn với triển khai Phong trào thi đua </w:t>
      </w:r>
      <w:r>
        <w:rPr>
          <w:i/>
          <w:iCs/>
          <w:sz w:val="28"/>
          <w:szCs w:val="28"/>
        </w:rPr>
        <w:t xml:space="preserve">“Quyết tâm thực hiện thắng lợi mục tiêu tăng trưởng bền vững “2 con số” giai đoạn 2026 - 2030”; </w:t>
      </w:r>
      <w:r>
        <w:rPr>
          <w:sz w:val="28"/>
          <w:szCs w:val="28"/>
        </w:rPr>
        <w:t>các chương trình, kế hoạch hành động triển khai 7 nghị quyết, kết luận của Hội nghị Trung ương 3 khóa XIV; các nghị quyết, kết luận, chỉ đạo của Bộ Chính trị, Ban Bí thư, nhất là 10 nghị quyết chiến lược, đột phá của Bộ Chính trị; các nghị quyết của Quốc hội, Ủy ban Thường vụ Quốc hội. </w:t>
      </w:r>
    </w:p>
    <w:p>
      <w:pPr>
        <w:pStyle w:val="NormalWeb"/>
        <w:spacing w:lineRule="exact" w:line="360" w:beforeAutospacing="0" w:before="120" w:afterAutospacing="0" w:after="120"/>
        <w:ind w:firstLine="567" w:end="146"/>
        <w:jc w:val="both"/>
        <w:rPr/>
      </w:pPr>
      <w:r>
        <w:rPr>
          <w:sz w:val="28"/>
          <w:szCs w:val="28"/>
        </w:rPr>
        <w:t>Tập trung phản ánh các giải pháp thúc đẩy mạnh mẽ tăng trưởng gắn với giữ vững ổn định kinh tế vĩ mô, kiểm soát lạm phát, bảo đảm các cân đối lớn; tháo gỡ triệt để các “điểm nghẽn” về thể chế, cắt giảm, đơn giản hóa thủ tục hành chính, điều kiện kinh doanh; đẩy nhanh giải ngân vốn đầu tư công, tiến độ các công trình, dự án hạ tầng quan trọng quốc gia; tập trung rà soát, xử lý dứt điểm các dự án tồn đọng kéo dài, chậm tiến độ để giải phóng nguồn lực cho tăng trưởng; làm mới các động lực tăng trưởng truyền thống, thúc đẩy các động lực tăng trưởng mới, phát triển khoa học, công nghệ, đổi mới sáng tạo, chuyển đổi số, kinh tế xanh; khơi thông và huy động hiệu quả các nguồn lực cho phát triển, hỗ trợ sản xuất, kinh doanh, tháo gỡ khó khăn cho doanh  nghiệp. Tuyên truyền việc nâng cao hiệu lực, hiệu quả thực thi công vụ, trách nhiệm người đứng đầu; công tác bảo đảm an sinh xã hội, đời sống Nhân dân, phấn đấu hoàn thành ở mức cao nhất các mục tiêu, chỉ tiêu phát triển kinh tế - xã hội năm 2026. </w:t>
      </w:r>
    </w:p>
    <w:p>
      <w:pPr>
        <w:pStyle w:val="NormalWeb"/>
        <w:spacing w:lineRule="exact" w:line="360" w:beforeAutospacing="0" w:before="120" w:afterAutospacing="0" w:after="120"/>
        <w:ind w:firstLine="567" w:end="146"/>
        <w:jc w:val="both"/>
        <w:rPr>
          <w:sz w:val="28"/>
          <w:szCs w:val="28"/>
        </w:rPr>
      </w:pPr>
      <w:r>
        <w:rPr>
          <w:sz w:val="28"/>
          <w:szCs w:val="28"/>
        </w:rPr>
        <w:t xml:space="preserve">- Tuyên truyền quan điểm, định hướng chỉ đạo của Bộ Chính trị, Ban Bí thư ở một số nội dung chuyên đề quan trọng, như: 04 định hướng lớn trong triển khai Nghị quyết số 57-NQ/TW giai đoạn tới theo Thông báo số 134-TB/VPTW, ngày 02/8/2026 về Thông báo kết luận của đồng chí Tổng Bí thư, Chủ tịch nước Tô Lâm tại Phiên họp của Ban Chỉ đạo Trung ương thực hiện Nghị quyết số 57-NQ/TW của Bộ Chính trị, đó là: (i) Chuyển mạnh từ quản lý tiến độ sang quản trị kết quả; (ii) Chuyển căn bản từ lao động giản đơn sang lao động sáng tạo, gắn với nâng cao chất lượng nguồn nhân lực quốc gia; (iii) Tập trung nguồn lực hình thành sản phẩm, thị trường và doanh nghiệp có năng lực cạnh tranh; (iv) Chuyển mạnh từ đổi mới sáng tạo trong một số lĩnh vực sang đổi mới sáng tạo trong toàn xã hội. Kết luận số 83-KL/TW, ngày 08/8/2026 của Bộ Chính trị về phát triển công nghiệp vật liệu Việt Nam. Những định hướng lớn về phát triển kết cấu hạ tầng đồng bộ trong giai đoạn mới theo Thông báo số 139-TB/VPTW, ngày 08/8/2026 của Văn phòng Trung ương Đảng về kết luận của đồng chí Tổng Bí thư, Chủ tịch nước Tô Lâm tại buổi làm việc về tình hình thực hiện Nghị quyết số 13-NQ/TW của Ban Chấp hành Trung ương Đảng khóa XI và Kết luận số 72-KL/TW của Bộ Chính trị khóa XIII…  </w:t>
      </w:r>
    </w:p>
    <w:p>
      <w:pPr>
        <w:pStyle w:val="NormalWeb"/>
        <w:spacing w:lineRule="exact" w:line="360" w:beforeAutospacing="0" w:before="120" w:afterAutospacing="0" w:after="120"/>
        <w:ind w:firstLine="567" w:end="146"/>
        <w:jc w:val="both"/>
        <w:rPr>
          <w:sz w:val="28"/>
          <w:szCs w:val="28"/>
        </w:rPr>
      </w:pPr>
      <w:r>
        <w:rPr>
          <w:sz w:val="28"/>
          <w:szCs w:val="28"/>
        </w:rPr>
        <w:t>Tiếp tục tuyên truyền việc triển khai thực hiện Kế hoạch số 06-KH/BCĐ, ngày 13/02/2026 của Ban Chỉ đạo về phát triển khoa học, công nghệ, đổi mới sáng tạo và chuyển đổi số về triển khai Phong trào “Bình dân học vụ số” năm 2026 tại các địa phương, cơ quan, đơn vị; Kế hoạch số 108-KH/TU ngày 28/7/2026 của Ban Thường vụ Tỉnh ủy về đẩy mạnh thông tin, tuyên truyền trên báo chí về việc tổ chức, triển khai Nghị quyết số 57-NQ/TW, ngày 22/12/2024 của Bộ Chính trị và Kế hoạch hành động 100 ngày cao điểm tập trung tháo gỡ điểm nghẽn, nâng cao hiệu quả chuyển đổi số trên địa bàn tỉnh.</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Tuyên truyền nâng cao nhận thức, trách nhiệm của cả hệ thống chính trị, cộng đồng doanh nghiệp và người dân trong bảo đảm an ninh mạng, an ninh dữ liệu, an toàn thông tin</w:t>
      </w:r>
      <w:r>
        <w:rPr>
          <w:sz w:val="28"/>
          <w:szCs w:val="28"/>
        </w:rPr>
        <w:t>, gắn với thực hiện chỉ đạo của Thủ tướng Chính phủ tại Lễ Mít tinh hưởng ứng Ngày An ninh mạng Việt Nam (ngày 6/8/2026). Nhấn mạnh yêu cầu chuyển mạnh từ ứng phó thụ động sang chủ động phòng ngừa từ sớm, từ xa; đấu tranh, ngăn chặn tội phạm mạng, lừa đảo trực tuyến, xâm phạm dữ liệu cá nhân; nâng cao kỹ năng số, khả năng tự bảo vệ của mỗi người dân, góp phần xây dựng không gian mạng an toàn, tin cậy, văn minh, nhân văn.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Tiếp tục tuyên truyền công tác phòng, chống bão, lũ, thiên tai cực đoan và thích ứng với biến đổi khí hậu</w:t>
      </w:r>
      <w:r>
        <w:rPr>
          <w:sz w:val="28"/>
          <w:szCs w:val="28"/>
        </w:rPr>
        <w:t>, gắn với việc triển khai các quan điểm, nhiệm vụ, giải pháp đã được Tổng Bí thư, Chủ tịch nước Tô Lâm chỉ đạo tại buổi làm việc với Đảng uỷ Chính phủ và các cơ quan liên quan ngày 4/7/2026. Tập trung phản ánh tinh thần chủ động, quyết liệt của Chính phủ, các bộ, ngành, địa phương trong phòng ngừa, ứng phó, khắc phục hậu quả thiên tai, nhất là trong cao điểm mùa mưa bão; nâng cao năng lực dự báo, cảnh báo sớm; rà soát các khu vực xung yếu, chủ động di dời, sơ tán người dân khỏi vùng nguy hiểm; bảo đảm an toàn đê điều, đập, hồ chứa, hạ tầng thiết yếu; bảo vệ sản xuất và đời sống nhân dân; kịp thời khắc phục hậu quả, phục hồi sản xuất, hạn chế thấp nhất thiệt hại về người và tài sản. </w:t>
      </w:r>
    </w:p>
    <w:p>
      <w:pPr>
        <w:pStyle w:val="NormalWeb"/>
        <w:spacing w:lineRule="exact" w:line="360" w:beforeAutospacing="0" w:before="120" w:afterAutospacing="0" w:after="120"/>
        <w:ind w:firstLine="567" w:end="146"/>
        <w:jc w:val="both"/>
        <w:rPr/>
      </w:pPr>
      <w:r>
        <w:rPr>
          <w:sz w:val="28"/>
          <w:szCs w:val="28"/>
        </w:rPr>
        <w:t>- Tuyên truyền việc triển khai Kế hoạch hành động thực hiện các biện pháp khắc phục khuyến nghị của Ủy ban châu Âu (EC) tại đợt thanh tra lần thứ 5 về chống khai  thác IUU, nhất là các nhiệm vụ trong “Tháng cao điểm” từ ngày 15/8 đến ngày 15/9/2026; phản ánh quyết tâm khắc phục triệt để các tồn tại, hạn chế, thực hiện đầy đủ, thực chất các khuyến nghị của EC, tạo chuyển biến căn bản trong quản lý nghề cá, ngăn chặn và tiến tới chấm dứt khai thác IUU, quyết tâm gỡ cảnh báo “Thẻ vàng” trong năm 2026, góp phần phát triển ngành thủy sản minh bạch, có trách nhiệm và bền vững. </w:t>
      </w:r>
    </w:p>
    <w:p>
      <w:pPr>
        <w:pStyle w:val="NormalWeb"/>
        <w:spacing w:lineRule="exact" w:line="360" w:beforeAutospacing="0" w:before="120" w:afterAutospacing="0" w:after="120"/>
        <w:ind w:firstLine="567" w:end="146"/>
        <w:jc w:val="both"/>
        <w:rPr>
          <w:rFonts w:ascii="Times New Roman Bold" w:hAnsi="Times New Roman Bold"/>
          <w:spacing w:val="-2"/>
        </w:rPr>
      </w:pPr>
      <w:r>
        <w:rPr>
          <w:rFonts w:ascii="Times New Roman Bold" w:hAnsi="Times New Roman Bold"/>
          <w:b/>
          <w:bCs/>
          <w:spacing w:val="-2"/>
          <w:sz w:val="28"/>
          <w:szCs w:val="28"/>
        </w:rPr>
        <w:t xml:space="preserve">3. Về các hoạt động đối ngoại, ngoại giao quan trọng của Đảng, Nhà nước </w:t>
      </w:r>
    </w:p>
    <w:p>
      <w:pPr>
        <w:pStyle w:val="NormalWeb"/>
        <w:spacing w:lineRule="exact" w:line="360" w:beforeAutospacing="0" w:before="120" w:afterAutospacing="0" w:after="120"/>
        <w:ind w:firstLine="567" w:end="146"/>
        <w:jc w:val="both"/>
        <w:rPr/>
      </w:pPr>
      <w:r>
        <w:rPr>
          <w:sz w:val="28"/>
          <w:szCs w:val="28"/>
        </w:rPr>
        <w:t>- Tuyên truyền, quán triệt Nghị quyết số 23-NQ/TW, ngày 02/8/2026 của Bộ Chính trị về công tác người Việt Nam ở nước ngoài. Chú ý làm rõ sự nhất quán trong quan điểm, nhận thức của Đảng ta về công tác người Việt Nam ở nước ngoài và ngày càng được thể hiện đầy đủ trong các văn kiện của Đảng, chính sách, pháp luật của Nhà nước. Khẳng định tầm quan trọng của công tác người Việt Nam ở nước ngoài trong việc góp phần củng cố khối đại đoàn kết toàn dân tộc, tăng cường hợp tác quốc tế và tạo động lực cho đất nước phát triển nhanh, bền vững trong kỷ nguyên mới. Gắn với các hoạt động hưởng ứng Ngày Tôn vinh tiếng Việt trong cộng đồng người Việt Nam ở nước ngoài (ngày 8/9) nhằm nâng cao ý thức, tôn vinh vẻ đẹp, giá trị của tiếng Việt trong cộng đồng. </w:t>
      </w:r>
    </w:p>
    <w:p>
      <w:pPr>
        <w:pStyle w:val="NormalWeb"/>
        <w:spacing w:lineRule="exact" w:line="360" w:beforeAutospacing="0" w:before="120" w:afterAutospacing="0" w:after="120"/>
        <w:ind w:firstLine="567" w:end="146"/>
        <w:jc w:val="both"/>
        <w:rPr/>
      </w:pPr>
      <w:r>
        <w:rPr>
          <w:sz w:val="28"/>
          <w:szCs w:val="28"/>
        </w:rPr>
        <w:t>- Tuyên truyền kết quả chuyến thăm cấp Nhà nước tới Australia và New Zealand của Tổng Bí thư, Chủ tịch nước Tô Lâm từ ngày 9-14/8/2026; nhấn mạnh Chuyến thăm khẳng định sự coi trọng cao của Đảng và Nhà nước ta đối với hai đối tác quan trọng này, đồng thời tạo xung lực đưa các khuôn khổ quan hệ mới đi vào chiều sâu, thực chất và hiệu quả theo hướng đồng hành, đồng hợp tác, đồng kiến tạo. Làm rõ ý nghĩa và kết quả nổi bật của Chuyến thăm trong củng cố mạnh mẽ tin cậy chính trị và tạo xung lực mới  để nâng tầm quan hệ với cả Australia và New Zealand; gắn kết chặt chẽ hơn hợp tác đối ngoại với các yêu cầu phát triển của đất nước; mở rộng hợp tác kinh tế, không chỉ thương  mại, đầu tư mà còn tăng cường liên kết chuỗi cung ứng, tạo thuận lợi cho doanh nghiệp và khai thác tốt hơn tính bổ trợ giữa các nền kinh tế. Khẳng định Chuyến thăm là một  dấu ấn đối ngoại quan trọng, góp phần triển khai đường lối đối ngoại Đại hội XIV của  Đảng, khẳng định chính sách đối ngoại đa phương hóa, đa dạng hóa nhất quán của Việt  Nam, củng cố cục diện đối ngoại thuận lợi, mở rộng không gian hợp tác và nâng cao vai  trò vị thế của Việt Nam ở khu vực.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Tuyên truyền kết quả Hội nghị Ngoại giao lần thứ 33 với chủ đề “Phát huy vai  trò tiên phong và thực hiện nhiệm vụ trọng yếu, thường xuyên của đối ngoại Việt Nam trong kỷ nguyên mới”</w:t>
      </w:r>
      <w:r>
        <w:rPr>
          <w:sz w:val="28"/>
          <w:szCs w:val="28"/>
        </w:rPr>
        <w:t>, gắn với tuyên truyền, làm sâu sắc các chỉ đạo của các đồng chí  lãnh đạo Đảng, Nhà nước tại Hội nghị. Nhấn mạnh yêu cầu tiếp tục đổi mới tư duy, nâng cao chất lượng nghiên cứu, dự báo, tham mưu chiến lược; làm sâu sắc, nâng cao hiệu quả các quan hệ đối ngoại; đưa ngoại giao phục vụ phát triển đi vào chiều sâu, chuyển hóa vị thế và quan hệ đối ngoại thành nguồn lực thiết thực cho phát triển đất nước; nâng tầm đối ngoại đa phương, hội nhập quốc tế; tăng cường phối hợp đồng bộ giữa các trụ cột, lực lượng đối ngoại. </w:t>
      </w:r>
    </w:p>
    <w:p>
      <w:pPr>
        <w:pStyle w:val="NormalWeb"/>
        <w:spacing w:lineRule="exact" w:line="360" w:beforeAutospacing="0" w:before="120" w:afterAutospacing="0" w:after="120"/>
        <w:ind w:firstLine="567" w:end="146"/>
        <w:jc w:val="both"/>
        <w:rPr/>
      </w:pPr>
      <w:r>
        <w:rPr>
          <w:sz w:val="28"/>
          <w:szCs w:val="28"/>
        </w:rPr>
        <w:t>Tuyên truyền việc cụ thể hóa các chủ trương, định hướng đối ngoại vào triển khai nhiệm vụ những tháng cuối năm 2026; phản ánh kết quả các hoạt động đối ngoại cấp cao, hợp tác song phương, đa phương và sự tham gia của Việt Nam tại các cơ chế, diễn đàn khu vực, quốc tế, qua đó tranh thủ các điều kiện, nguồn lực thuận lợi phục vụ phát triển đất nước. Tăng cường tuyên truyền về công tác bảo hộ công dân, quản lý biên giới, thông tin đối ngoại; công tác chuẩn bị, tổ chức các hoạt động</w:t>
      </w:r>
      <w:r>
        <w:rPr/>
        <w:t xml:space="preserve"> </w:t>
      </w:r>
      <w:r>
        <w:rPr>
          <w:sz w:val="28"/>
          <w:szCs w:val="28"/>
        </w:rPr>
        <w:t>đối ngoại trọng điểm từ nay đến cuối năm, góp phần củng cố môi trường hòa bình, ổn định, mở rộng không gian phát triển. </w:t>
      </w:r>
    </w:p>
    <w:p>
      <w:pPr>
        <w:pStyle w:val="NormalWeb"/>
        <w:spacing w:lineRule="exact" w:line="360" w:beforeAutospacing="0" w:before="120" w:afterAutospacing="0" w:after="120"/>
        <w:ind w:firstLine="567" w:end="146"/>
        <w:jc w:val="both"/>
        <w:rPr/>
      </w:pPr>
      <w:r>
        <w:rPr>
          <w:sz w:val="28"/>
          <w:szCs w:val="28"/>
        </w:rPr>
        <w:t xml:space="preserve">- </w:t>
      </w:r>
      <w:r>
        <w:rPr>
          <w:i/>
          <w:iCs/>
          <w:sz w:val="28"/>
          <w:szCs w:val="28"/>
        </w:rPr>
        <w:t>Tuyên truyền nâng cao nhận thức về Cộng đồng ASEAN, vai trò, vị trí của ASEAN và sự tham gia chủ động, tích cực, có trách nhiệm của Việt Nam trong ASEAN</w:t>
      </w:r>
      <w:r>
        <w:rPr>
          <w:sz w:val="28"/>
          <w:szCs w:val="28"/>
        </w:rPr>
        <w:t>, bám sát mục tiêu, nội dung Kế hoạch truyền thông, quảng bá về ASEAN giai đoạn 2026 - 2030 ban hành kèm theo Quyết định số 1477/QĐ-TTg, ngày 04/8/2026 của Thủ tướng Chính phủ. Khẳng định vị trí, vai trò của ASEAN là không gian hợp tác chiến lược quan trọng của Việt Nam; tuyên truyền Tầm nhìn Cộng đồng ASEAN 2045, những lợi ích thiết thực của Cộng đồng ASEAN đối với người dân, doanh nghiệp; những đóng góp của Việt Nam trong duy trì đoàn kết nội khối, củng cố vai trò trung tâm của ASEAN, thúc đẩy hòa bình, ổn định, hợp tác và phát triển bền vững. </w:t>
      </w:r>
    </w:p>
    <w:p>
      <w:pPr>
        <w:pStyle w:val="NormalWeb"/>
        <w:spacing w:lineRule="exact" w:line="360" w:beforeAutospacing="0" w:before="120" w:afterAutospacing="0" w:after="120"/>
        <w:ind w:firstLine="567" w:end="146"/>
        <w:jc w:val="both"/>
        <w:rPr/>
      </w:pPr>
      <w:r>
        <w:rPr>
          <w:b/>
          <w:bCs/>
          <w:sz w:val="28"/>
          <w:szCs w:val="28"/>
        </w:rPr>
        <w:t>4. Một số nội dung quan trọng khác </w:t>
      </w:r>
    </w:p>
    <w:p>
      <w:pPr>
        <w:pStyle w:val="NormalWeb"/>
        <w:spacing w:lineRule="exact" w:line="360" w:beforeAutospacing="0" w:before="120" w:afterAutospacing="0" w:after="120"/>
        <w:ind w:firstLine="567" w:end="146"/>
        <w:jc w:val="both"/>
        <w:rPr/>
      </w:pPr>
      <w:r>
        <w:rPr>
          <w:i/>
          <w:iCs/>
          <w:sz w:val="28"/>
          <w:szCs w:val="28"/>
        </w:rPr>
        <w:t xml:space="preserve">- Tập trung tuyên truyền kỷ niệm 81 năm Cách mạng Tháng Tám thành công (19/8/1945 - 19/8/2026) và Quốc khánh nước Cộng hòa xã hội chủ nghĩa Việt Nam (2/9/1945 - 2/9/2026), </w:t>
      </w:r>
      <w:r>
        <w:rPr>
          <w:sz w:val="28"/>
          <w:szCs w:val="28"/>
        </w:rPr>
        <w:t>làm rõ ý nghĩa lịch sử của Quốc khánh 2/9, sự ra đời của Nhà  nước Việt Nam Dân chủ Cộng hòa, nay là nước Cộng hòa xã hội chủ nghĩa Việt Nam. Làm nổi bật những thắng lợi vĩ đại của cách mạng Việt Nam dưới sự lãnh đạo của Đảng; khẳng định những thành tựu to lớn, có ý nghĩa lịch sử sau 40 năm thực hiện đường lối đổi mới và tinh thần quyết tâm của toàn Đảng, toàn dân, toàn quân đưa đất nước tiếp tục phát triển ở tầm cao mới; nâng cao nhận thức về những thời cơ, thuận lợi, khó khăn, thách thức và yêu cầu, nhiệm vụ đặt ra đối với sự nghiệp xây dựng, phát  triển đất nước và bảo vệ Tổ quốc trong tình hình mới. Chủ động đấu tranh, phản bác các thông tin xấu độc, quan điểm sai trái, thù địch, xuyên tạc lịch sử, phủ nhận thành quả cách mạng, ý nghĩa của Cách mạng Tháng Tám và Quốc khánh 2/9, vai trò lãnh đạo của Đảng và Chủ tịch Hồ Chí Minh; góp phần bảo vệ vững chắc nền tảng tư tưởng của Đảng, củng cố niềm tin và sự đồng thuận xã hội</w:t>
      </w:r>
      <w:r>
        <w:rPr>
          <w:i/>
          <w:iCs/>
          <w:sz w:val="28"/>
          <w:szCs w:val="28"/>
        </w:rPr>
        <w:t>. </w:t>
      </w:r>
    </w:p>
    <w:p>
      <w:pPr>
        <w:pStyle w:val="NormalWeb"/>
        <w:spacing w:lineRule="exact" w:line="360" w:beforeAutospacing="0" w:before="120" w:afterAutospacing="0" w:after="120"/>
        <w:ind w:firstLine="567" w:end="146"/>
        <w:jc w:val="both"/>
        <w:rPr/>
      </w:pPr>
      <w:r>
        <w:rPr>
          <w:i/>
          <w:iCs/>
          <w:sz w:val="28"/>
          <w:szCs w:val="28"/>
        </w:rPr>
        <w:t xml:space="preserve">- Tuyên truyền hướng tới kỷ niệm 150 năm Ngày sinh cụ Huỳnh Thúc Kháng (01/10/1876 - 01/10/2026); </w:t>
      </w:r>
      <w:r>
        <w:rPr>
          <w:sz w:val="28"/>
          <w:szCs w:val="28"/>
        </w:rPr>
        <w:t>làm nổi bật cuộc đời, sự nghiệp và những đóng góp to lớn của cụ Huỳnh Thúc Kháng - nhà chí sĩ yêu nước tiêu biểu, nhà văn hóa lớn, người chiến sĩ cách mạng kiên trung đối với phong trào yêu nước đầu thế kỷ XX, sự nghiệp đấu tranh giành độc lập dân tộc và xây dựng chính quyền cách mạng, nhất là trên cương vị Quyền Chủ tịch nước trong những năm đầu của Nhà nước Việt Nam Dân chủ Cộng hòa.  </w:t>
      </w:r>
    </w:p>
    <w:p>
      <w:pPr>
        <w:pStyle w:val="NormalWeb"/>
        <w:spacing w:lineRule="exact" w:line="360" w:beforeAutospacing="0" w:before="120" w:afterAutospacing="0" w:after="120"/>
        <w:ind w:firstLine="567" w:end="146"/>
        <w:jc w:val="both"/>
        <w:rPr>
          <w:sz w:val="28"/>
          <w:szCs w:val="28"/>
        </w:rPr>
      </w:pPr>
      <w:r>
        <w:rPr>
          <w:sz w:val="28"/>
          <w:szCs w:val="28"/>
        </w:rPr>
        <w:t xml:space="preserve">- </w:t>
      </w:r>
      <w:r>
        <w:rPr>
          <w:i/>
          <w:iCs/>
          <w:sz w:val="28"/>
          <w:szCs w:val="28"/>
        </w:rPr>
        <w:t>Tuyên truyền năm học mới 2026 - 2027</w:t>
      </w:r>
      <w:r>
        <w:rPr>
          <w:sz w:val="28"/>
          <w:szCs w:val="28"/>
        </w:rPr>
        <w:t>; tiếp tục khẳng định sự quan tâm, chăm lo của Đảng, Nhà nước đối với sự nghiệp giáo dục và đào tạo; phản ánh không khí hồ hởi, phấn khởi của cán bộ quản lý, nhà giáo, học sinh, sinh viên, học viên trong ngày khai giảng và những ngày đầu năm học mới. Tuyên truyền các nhiệm vụ trọng tâm  năm học 2026 - 2027 theo Chỉ thị số 31/CT-TTg, ngày 5/8/2026 của Thủ tướng Chính phủ; làm rõ yêu cầu đổi mới mạnh mẽ tư duy, phương thức quản lý giáo dục, chuyển mạnh từ tư duy “quản lý giáo dục” sang “quản trị phát triển giáo dục”; tập trung khắc phục những hạn chế, bất cập, khó khăn, vướng mắc; thực hiện đồng bộ, quyết liệt, hiệu quả các nhiệm vụ, giải pháp đột phá phát triển giáo dục và đào tạo. Chú trọng  tuyên truyền kết quả hoàn thành, khánh thành và đưa vào sử dụng các trường phổ thông nội trú liên cấp tại các xã biên giới.  </w:t>
      </w:r>
    </w:p>
    <w:p>
      <w:pPr>
        <w:pStyle w:val="NormalWeb"/>
        <w:spacing w:lineRule="exact" w:line="360" w:beforeAutospacing="0" w:before="120" w:afterAutospacing="0" w:after="120"/>
        <w:ind w:firstLine="567" w:end="146"/>
        <w:jc w:val="both"/>
        <w:rPr>
          <w:sz w:val="28"/>
          <w:szCs w:val="28"/>
        </w:rPr>
      </w:pPr>
      <w:r>
        <w:rPr>
          <w:sz w:val="28"/>
          <w:szCs w:val="28"/>
        </w:rPr>
        <w:t>Tuyên truyền về mục đích, ý nghĩa và tầm quan trọng của việc sắp xếp cơ sở giáo dục mầm non, phổ thông, thường xuyên, giáo dục nghề nghiệp công lập cấp tỉnh, cấp xã theo tinh thần chỉ đạo của Trung ương và của tỉnh (theo Công văn số 777/TTg-CCVC, ngày 10/7/2026 của Thủ tướng Chính phủ về việc “Sắp xếp cơ sở giáo dục mầm non, phổ thông, thường xuyên, giáo dục nghề nghiệp công lập cấp tỉnh, cấp xã” và Công văn số 1361-CV/TU, ngày 13/7/2026 của Ban Thường vụ Tỉnh ủy về việc khẩn trương triển khai thực hiện sắp xếp cơ sở giáo dục mầm non, phổ thông, thường xuyên, giáo dục nghề nghiệp công lập cấp tỉnh, cấp xã).</w:t>
      </w:r>
    </w:p>
    <w:p>
      <w:pPr>
        <w:pStyle w:val="NormalWeb"/>
        <w:spacing w:lineRule="exact" w:line="360" w:beforeAutospacing="0" w:before="120" w:afterAutospacing="0" w:after="120"/>
        <w:ind w:firstLine="567" w:end="146"/>
        <w:jc w:val="both"/>
        <w:rPr>
          <w:sz w:val="28"/>
          <w:szCs w:val="28"/>
        </w:rPr>
      </w:pPr>
      <w:r>
        <w:rPr>
          <w:sz w:val="28"/>
          <w:szCs w:val="28"/>
        </w:rPr>
        <w:t>- Tăng cường tuyên truyền triển khai thực hiện Chỉ thị số 10-CT/TW, ngày 20/7/2026 của Ban Bí thư về tăng cường giáo dục lý luận chính trị, lý tưởng cách mạng, đạo đức, lối sống và ý thức công dân trong hệ thống giáo dục quốc dân, đáp ứng yêu cầu phát triển đất nước trong tình hình mới; làm rõ yêu cầu xây dựng môi trường giáo dục hiện đại, lành mạnh, an toàn, trong đó chú trọng môi trường số; góp phần xây dựng con người Việt Nam phát triển toàn diện, có lý tưởng cách mạng, bản lĩnh chính trị, đạo đức, tri thức, kỹ năng, lối sống văn hóa, ý thức tuân thủ pháp luật, năng lực số và khát vọng cống hiến. </w:t>
      </w:r>
    </w:p>
    <w:p>
      <w:pPr>
        <w:pStyle w:val="NormalWeb"/>
        <w:spacing w:lineRule="exact" w:line="360" w:beforeAutospacing="0" w:before="120" w:afterAutospacing="0" w:after="120"/>
        <w:ind w:firstLine="567" w:end="146"/>
        <w:jc w:val="both"/>
        <w:rPr/>
      </w:pPr>
      <w:r>
        <w:rPr>
          <w:sz w:val="28"/>
          <w:szCs w:val="28"/>
        </w:rPr>
        <w:t>- Đẩy mạnh truyền thông chính sách Dự án Luật An toàn thực phẩm (sửa đổi) theo Kế hoạch số 159-KH/BTGTW, ngày 06/8/2026 của Ban Tuyên giáo Trung ương, nhằm nâng cao nhận thức, trách nhiệm của các cấp ủy, tổ chức đảng, chính quyền, Mặt trận Tổ quốc và các tổ chức chính trị - xã hội, cộng đồng doanh nghiệp và các tầng lớp Nhân dân về sự cần thiết của việc sửa đổi Luật An toàn thực phẩm trong bối cảnh mới, qua đó tạo sự thống nhất về nhận thức và hành động của cả hệ thống chính trị, cộng đồng doanh nghiệp và toàn xã hội.</w:t>
      </w:r>
    </w:p>
    <w:p>
      <w:pPr>
        <w:pStyle w:val="NormalWeb"/>
        <w:spacing w:lineRule="exact" w:line="360" w:beforeAutospacing="0" w:before="120" w:afterAutospacing="0" w:after="120"/>
        <w:ind w:firstLine="567" w:end="146"/>
        <w:jc w:val="both"/>
        <w:rPr>
          <w:sz w:val="28"/>
          <w:szCs w:val="28"/>
        </w:rPr>
      </w:pPr>
      <w:r>
        <w:rPr>
          <w:sz w:val="28"/>
          <w:szCs w:val="28"/>
        </w:rPr>
        <w:t xml:space="preserve">- Đẩy mạnh công tác thông tin, tuyên truyền về chủ trương, chính sách và lợi ích của việc khám sức khỏe định kỳ, khám sàng lọc miễn phí cho người dân gắn với thực hiện hiệu quả Chỉ thị số 17/CT-TTg ngày 06/5/2026 của Thủ tướng Chính phủ; tạo sự đồng thuận xã hội, thúc đẩy người dân tích cực tham gia. </w:t>
      </w:r>
    </w:p>
    <w:p>
      <w:pPr>
        <w:pStyle w:val="Normal"/>
        <w:spacing w:lineRule="exact" w:line="360" w:before="120" w:after="120"/>
        <w:ind w:firstLine="567"/>
        <w:jc w:val="both"/>
        <w:rPr>
          <w:rFonts w:ascii="Times New Roman" w:hAnsi="Times New Roman" w:cs="Times New Roman"/>
          <w:sz w:val="28"/>
          <w:szCs w:val="28"/>
        </w:rPr>
      </w:pPr>
      <w:r>
        <w:rPr>
          <w:rFonts w:cs="Times New Roman" w:ascii="Times New Roman" w:hAnsi="Times New Roman"/>
          <w:sz w:val="28"/>
          <w:szCs w:val="28"/>
        </w:rPr>
        <w:t xml:space="preserve">- Tiếp tục tuyên truyền về “Chiến dịch 500 ngày đêm đẩy mạnh thực hiện tìm kiếm, quy tập và xác định danh tính hài cốt liệt sĩ”, làm rõ ý nghĩa chính trị, xã hội và nhân văn sâu sắc của Chiến dịch. Khẳng định đây là nhiệm vụ đặc biệt quan trọng, thể hiện đạo lý “Uống nước nhớ nguồn”, trách nhiệm tri ân của Đảng, Nhà nước, Quân đội và toàn xã hội đối với các anh hùng liệt sĩ </w:t>
      </w:r>
      <w:r>
        <w:rPr>
          <w:rFonts w:cs="Times New Roman" w:ascii="Times New Roman" w:hAnsi="Times New Roman"/>
          <w:i/>
          <w:iCs/>
          <w:sz w:val="28"/>
          <w:szCs w:val="28"/>
        </w:rPr>
        <w:t>(theo Kế hoạch số 102 KH/TU, ngày 10/7/2026 của Ban Thường vụ Tỉnh ủy về việc thông tin, tuyên truyền trên báo chí về “Chiến dịch 500 ngày đêm đẩy mạnh thực hiện tìm kiếm, quy tập và xác định danh tính hài cốt liệt sĩ”).</w:t>
      </w:r>
    </w:p>
    <w:p>
      <w:pPr>
        <w:pStyle w:val="Normal"/>
        <w:spacing w:lineRule="exact" w:line="360" w:before="120" w:after="120"/>
        <w:ind w:firstLine="567"/>
        <w:jc w:val="both"/>
        <w:rPr>
          <w:rFonts w:ascii="Times New Roman" w:hAnsi="Times New Roman" w:cs="Times New Roman"/>
          <w:sz w:val="28"/>
          <w:szCs w:val="28"/>
        </w:rPr>
      </w:pPr>
      <w:r>
        <w:rPr>
          <w:rFonts w:cs="Times New Roman" w:ascii="Times New Roman" w:hAnsi="Times New Roman"/>
          <w:sz w:val="28"/>
          <w:szCs w:val="28"/>
        </w:rPr>
        <w:t xml:space="preserve">- Tiếp tục đẩy mạnh tuyên truyền về Lễ hội Sầu riêng Đắk Lắk năm 2026, tập trung vào mục đích, ý nghĩa, chủ đề, quy mô và các hoạt động trọng tâm của Lễ hội; công tác chuẩn bị và tổ chức Lễ hội; các hoạt động xúc tiến thương mại, kết nối giao thương, quảng bá du lịch, giới thiệu sản phẩm; các hoạt động truyền thông số, phát trực tiếp, tọa đàm chuyên đề, quảng bá hình ảnh, văn hóa, con người Đắk Lắk; phản ánh kịp thời diễn biến và kết quả các hoạt động trong khuôn khổ Lễ hội, góp phần tôn vinh giá trị ngành hàng sầu riêng và quảng bá hình ảnh địa phương. </w:t>
      </w:r>
    </w:p>
    <w:p>
      <w:pPr>
        <w:pStyle w:val="Normal"/>
        <w:spacing w:lineRule="exact" w:line="360" w:before="120" w:after="120"/>
        <w:ind w:firstLine="567"/>
        <w:jc w:val="both"/>
        <w:rPr>
          <w:rFonts w:ascii="Times New Roman" w:hAnsi="Times New Roman" w:cs="Times New Roman"/>
          <w:sz w:val="28"/>
          <w:szCs w:val="28"/>
        </w:rPr>
      </w:pPr>
      <w:r>
        <w:rPr>
          <w:rFonts w:cs="Times New Roman" w:ascii="Times New Roman" w:hAnsi="Times New Roman"/>
          <w:sz w:val="28"/>
          <w:szCs w:val="28"/>
        </w:rPr>
        <w:t xml:space="preserve">- Tuyên truyền Giải thưởng toàn quốc về Thông tin đối ngoại lần thứ XII; Cuộc thi và Triển lãm ảnh nghệ thuật cấp quốc gia “Tự hào một dải biên cương” lần thứ IV - năm 2026; Chung khảo Hội thi Báo cáo viên, tuyên truyền viên giỏi toàn quốc năm 2026; Giải báo chí về xây dựng Đảng </w:t>
      </w:r>
      <w:r>
        <w:rPr>
          <w:rFonts w:cs="Times New Roman" w:ascii="Times New Roman" w:hAnsi="Times New Roman"/>
          <w:i/>
          <w:iCs/>
          <w:sz w:val="28"/>
          <w:szCs w:val="28"/>
        </w:rPr>
        <w:t xml:space="preserve">(Giải Búa liềm vàng) </w:t>
      </w:r>
      <w:r>
        <w:rPr>
          <w:rFonts w:cs="Times New Roman" w:ascii="Times New Roman" w:hAnsi="Times New Roman"/>
          <w:sz w:val="28"/>
          <w:szCs w:val="28"/>
        </w:rPr>
        <w:t>toàn quốc lần thứ XI năm 2026…</w:t>
      </w:r>
    </w:p>
    <w:p>
      <w:pPr>
        <w:pStyle w:val="Normal"/>
        <w:spacing w:lineRule="exact" w:line="360" w:before="120" w:after="120"/>
        <w:ind w:firstLine="567"/>
        <w:jc w:val="both"/>
        <w:rPr>
          <w:rFonts w:ascii="Times New Roman" w:hAnsi="Times New Roman" w:cs="Times New Roman"/>
          <w:sz w:val="28"/>
          <w:szCs w:val="28"/>
        </w:rPr>
      </w:pPr>
      <w:r>
        <w:rPr>
          <w:rFonts w:cs="Times New Roman" w:ascii="Times New Roman" w:hAnsi="Times New Roman"/>
          <w:sz w:val="28"/>
          <w:szCs w:val="28"/>
        </w:rPr>
        <w:t>Trên đây là nội những dung cốt lõi, Ban Thường vụ Đảng uỷ đề nghị thủ trưởng các cơ quan, đơn vị, cấp uỷ các Chi bộ tổ chức triển khai thực hiện./.</w:t>
      </w:r>
    </w:p>
    <w:p>
      <w:pPr>
        <w:pStyle w:val="Normal"/>
        <w:spacing w:lineRule="exact" w:line="360" w:before="120" w:after="120"/>
        <w:ind w:firstLine="567"/>
        <w:jc w:val="both"/>
        <w:rPr>
          <w:rFonts w:ascii="Times New Roman" w:hAnsi="Times New Roman" w:cs="Times New Roman"/>
          <w:sz w:val="28"/>
          <w:szCs w:val="28"/>
        </w:rPr>
      </w:pPr>
      <w:r>
        <w:rPr>
          <w:rFonts w:cs="Times New Roman" w:ascii="Times New Roman" w:hAnsi="Times New Roman"/>
          <w:sz w:val="28"/>
          <w:szCs w:val="28"/>
        </w:rPr>
      </w:r>
    </w:p>
    <w:tbl>
      <w:tblPr>
        <w:tblStyle w:val="TableGrid"/>
        <w:tblW w:w="9781"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110"/>
        <w:gridCol w:w="5671"/>
      </w:tblGrid>
      <w:tr>
        <w:trPr/>
        <w:tc>
          <w:tcPr>
            <w:tcW w:w="4110" w:type="dxa"/>
            <w:tcBorders>
              <w:top w:val="nil"/>
              <w:start w:val="nil"/>
              <w:bottom w:val="nil"/>
              <w:end w:val="nil"/>
            </w:tcBorders>
          </w:tcPr>
          <w:p>
            <w:pPr>
              <w:pStyle w:val="ng-star-inserted"/>
              <w:widowControl/>
              <w:spacing w:beforeAutospacing="0" w:before="0" w:afterAutospacing="0" w:after="0"/>
              <w:jc w:val="both"/>
              <w:rPr>
                <w:sz w:val="28"/>
                <w:szCs w:val="28"/>
                <w:lang w:val="en-US" w:eastAsia="en-US" w:bidi="ar-SA"/>
              </w:rPr>
            </w:pPr>
            <w:r>
              <w:rPr>
                <w:sz w:val="28"/>
                <w:szCs w:val="28"/>
                <w:u w:val="single"/>
                <w:lang w:val="en-US" w:eastAsia="en-US" w:bidi="ar-SA"/>
              </w:rPr>
              <w:t>Nơi nhận</w:t>
            </w:r>
            <w:r>
              <w:rPr>
                <w:sz w:val="28"/>
                <w:szCs w:val="28"/>
                <w:lang w:val="en-US" w:eastAsia="en-US" w:bidi="ar-SA"/>
              </w:rPr>
              <w:t>:</w:t>
            </w:r>
          </w:p>
          <w:p>
            <w:pPr>
              <w:pStyle w:val="ng-star-inserted"/>
              <w:widowControl/>
              <w:spacing w:beforeAutospacing="0" w:before="0" w:afterAutospacing="0" w:after="0"/>
              <w:jc w:val="both"/>
              <w:rPr>
                <w:sz w:val="24"/>
                <w:szCs w:val="24"/>
              </w:rPr>
            </w:pPr>
            <w:r>
              <w:rPr>
                <w:sz w:val="24"/>
                <w:szCs w:val="24"/>
                <w:lang w:val="en-US" w:eastAsia="en-US" w:bidi="ar-SA"/>
              </w:rPr>
              <w:t>- Như Kính gửi;</w:t>
            </w:r>
          </w:p>
          <w:p>
            <w:pPr>
              <w:pStyle w:val="ng-star-inserted"/>
              <w:widowControl/>
              <w:spacing w:beforeAutospacing="0" w:before="0" w:afterAutospacing="0" w:after="0"/>
              <w:jc w:val="both"/>
              <w:rPr>
                <w:sz w:val="24"/>
                <w:szCs w:val="24"/>
              </w:rPr>
            </w:pPr>
            <w:r>
              <w:rPr>
                <w:sz w:val="24"/>
                <w:szCs w:val="24"/>
                <w:lang w:val="en-US" w:eastAsia="en-US" w:bidi="ar-SA"/>
              </w:rPr>
              <w:t>- Ban TG&amp;DV Tỉnh uỷ (b/c);</w:t>
            </w:r>
          </w:p>
          <w:p>
            <w:pPr>
              <w:pStyle w:val="ng-star-inserted"/>
              <w:widowControl/>
              <w:spacing w:beforeAutospacing="0" w:before="0" w:afterAutospacing="0" w:after="0"/>
              <w:jc w:val="both"/>
              <w:rPr>
                <w:sz w:val="24"/>
                <w:szCs w:val="24"/>
              </w:rPr>
            </w:pPr>
            <w:r>
              <w:rPr>
                <w:sz w:val="24"/>
                <w:szCs w:val="24"/>
                <w:lang w:val="en-US" w:eastAsia="en-US" w:bidi="ar-SA"/>
              </w:rPr>
              <w:t>- Ban Thường vụ Đảng uỷ,</w:t>
            </w:r>
          </w:p>
          <w:p>
            <w:pPr>
              <w:pStyle w:val="ng-star-inserted"/>
              <w:widowControl/>
              <w:spacing w:beforeAutospacing="0" w:before="0" w:afterAutospacing="0" w:after="0"/>
              <w:jc w:val="both"/>
              <w:rPr>
                <w:sz w:val="28"/>
                <w:szCs w:val="28"/>
                <w:lang w:val="en-US" w:eastAsia="en-US" w:bidi="ar-SA"/>
              </w:rPr>
            </w:pPr>
            <w:r>
              <w:rPr>
                <w:sz w:val="24"/>
                <w:szCs w:val="24"/>
                <w:lang w:val="en-US" w:eastAsia="en-US" w:bidi="ar-SA"/>
              </w:rPr>
              <w:t>- Lưu Ban XDĐ, VP ĐU.</w:t>
            </w:r>
          </w:p>
        </w:tc>
        <w:tc>
          <w:tcPr>
            <w:tcW w:w="5671" w:type="dxa"/>
            <w:tcBorders>
              <w:top w:val="nil"/>
              <w:start w:val="nil"/>
              <w:bottom w:val="nil"/>
              <w:end w:val="nil"/>
            </w:tcBorders>
          </w:tcPr>
          <w:p>
            <w:pPr>
              <w:pStyle w:val="ng-star-inserted"/>
              <w:widowControl/>
              <w:spacing w:beforeAutospacing="0" w:before="0" w:afterAutospacing="0" w:after="0"/>
              <w:jc w:val="center"/>
              <w:rPr>
                <w:b/>
                <w:bCs/>
              </w:rPr>
            </w:pPr>
            <w:r>
              <w:rPr>
                <w:b/>
                <w:bCs/>
                <w:sz w:val="28"/>
                <w:szCs w:val="28"/>
                <w:lang w:val="en-US" w:eastAsia="en-US" w:bidi="ar-SA"/>
              </w:rPr>
              <w:t>T/M BAN THƯỜNG VỤ</w:t>
            </w:r>
          </w:p>
          <w:p>
            <w:pPr>
              <w:pStyle w:val="ng-star-inserted"/>
              <w:widowControl/>
              <w:spacing w:beforeAutospacing="0" w:before="0" w:afterAutospacing="0" w:after="0"/>
              <w:jc w:val="center"/>
              <w:rPr>
                <w:sz w:val="28"/>
                <w:szCs w:val="28"/>
                <w:lang w:val="en-US" w:eastAsia="en-US" w:bidi="ar-SA"/>
              </w:rPr>
            </w:pPr>
            <w:r>
              <w:rPr>
                <w:sz w:val="28"/>
                <w:szCs w:val="28"/>
                <w:lang w:val="en-US" w:eastAsia="en-US" w:bidi="ar-SA"/>
              </w:rPr>
              <w:t xml:space="preserve">BÍ THƯ </w:t>
            </w:r>
          </w:p>
          <w:p>
            <w:pPr>
              <w:pStyle w:val="ng-star-inserted"/>
              <w:widowControl/>
              <w:spacing w:beforeAutospacing="0" w:before="0" w:afterAutospacing="0" w:after="0"/>
              <w:jc w:val="center"/>
              <w:rPr>
                <w:sz w:val="28"/>
                <w:szCs w:val="28"/>
                <w:lang w:val="en-US" w:eastAsia="en-US" w:bidi="ar-SA"/>
              </w:rPr>
            </w:pPr>
            <w:r>
              <w:rPr>
                <w:sz w:val="28"/>
                <w:szCs w:val="28"/>
                <w:lang w:val="en-US" w:eastAsia="en-US" w:bidi="ar-SA"/>
              </w:rPr>
            </w:r>
          </w:p>
          <w:p>
            <w:pPr>
              <w:pStyle w:val="ng-star-inserted"/>
              <w:widowControl/>
              <w:spacing w:beforeAutospacing="0" w:before="0" w:afterAutospacing="0" w:after="0"/>
              <w:jc w:val="center"/>
              <w:rPr>
                <w:sz w:val="28"/>
                <w:szCs w:val="28"/>
                <w:lang w:val="en-US" w:eastAsia="en-US" w:bidi="ar-SA"/>
              </w:rPr>
            </w:pPr>
            <w:r>
              <w:rPr>
                <w:sz w:val="28"/>
                <w:szCs w:val="28"/>
                <w:lang w:val="en-US" w:eastAsia="en-US" w:bidi="ar-SA"/>
              </w:rPr>
            </w:r>
          </w:p>
          <w:p>
            <w:pPr>
              <w:pStyle w:val="ng-star-inserted"/>
              <w:widowControl/>
              <w:spacing w:beforeAutospacing="0" w:before="0" w:afterAutospacing="0" w:after="0"/>
              <w:jc w:val="center"/>
              <w:rPr>
                <w:sz w:val="28"/>
                <w:szCs w:val="28"/>
                <w:lang w:val="en-US" w:eastAsia="en-US" w:bidi="ar-SA"/>
              </w:rPr>
            </w:pPr>
            <w:r>
              <w:rPr>
                <w:sz w:val="28"/>
                <w:szCs w:val="28"/>
                <w:lang w:val="en-US" w:eastAsia="en-US" w:bidi="ar-SA"/>
              </w:rPr>
            </w:r>
          </w:p>
          <w:p>
            <w:pPr>
              <w:pStyle w:val="ng-star-inserted"/>
              <w:widowControl/>
              <w:spacing w:beforeAutospacing="0" w:before="0" w:afterAutospacing="0" w:after="0"/>
              <w:jc w:val="center"/>
              <w:rPr>
                <w:sz w:val="28"/>
                <w:szCs w:val="28"/>
                <w:lang w:val="en-US" w:eastAsia="en-US" w:bidi="ar-SA"/>
              </w:rPr>
            </w:pPr>
            <w:r>
              <w:rPr>
                <w:sz w:val="28"/>
                <w:szCs w:val="28"/>
                <w:lang w:val="en-US" w:eastAsia="en-US" w:bidi="ar-SA"/>
              </w:rPr>
            </w:r>
          </w:p>
          <w:p>
            <w:pPr>
              <w:pStyle w:val="ng-star-inserted"/>
              <w:widowControl/>
              <w:spacing w:beforeAutospacing="0" w:before="0" w:afterAutospacing="0" w:after="0"/>
              <w:jc w:val="center"/>
              <w:rPr>
                <w:sz w:val="28"/>
                <w:szCs w:val="28"/>
                <w:lang w:val="en-US" w:eastAsia="en-US" w:bidi="ar-SA"/>
              </w:rPr>
            </w:pPr>
            <w:r>
              <w:rPr>
                <w:sz w:val="28"/>
                <w:szCs w:val="28"/>
                <w:lang w:val="en-US" w:eastAsia="en-US" w:bidi="ar-SA"/>
              </w:rPr>
            </w:r>
          </w:p>
          <w:p>
            <w:pPr>
              <w:pStyle w:val="ng-star-inserted"/>
              <w:widowControl/>
              <w:spacing w:beforeAutospacing="0" w:before="0" w:afterAutospacing="0" w:after="0"/>
              <w:jc w:val="center"/>
              <w:rPr>
                <w:b/>
                <w:bCs/>
              </w:rPr>
            </w:pPr>
            <w:r>
              <w:rPr>
                <w:b/>
                <w:bCs/>
                <w:sz w:val="28"/>
                <w:szCs w:val="28"/>
                <w:lang w:val="en-US" w:eastAsia="en-US" w:bidi="ar-SA"/>
              </w:rPr>
              <w:t>Y Khuyết Niê</w:t>
            </w:r>
          </w:p>
        </w:tc>
      </w:tr>
    </w:tbl>
    <w:p>
      <w:pPr>
        <w:pStyle w:val="Normal"/>
        <w:spacing w:lineRule="exact" w:line="340" w:before="120" w:after="12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exact" w:line="340" w:before="120" w:after="120"/>
        <w:ind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exact" w:line="360" w:before="120" w:after="120"/>
        <w:ind w:firstLine="425"/>
        <w:jc w:val="both"/>
        <w:rPr>
          <w:rFonts w:ascii="Times New Roman" w:hAnsi="Times New Roman" w:cs="Times New Roman"/>
          <w:sz w:val="28"/>
          <w:szCs w:val="28"/>
        </w:rPr>
      </w:pPr>
      <w:r>
        <w:rPr>
          <w:rFonts w:cs="Times New Roman" w:ascii="Times New Roman" w:hAnsi="Times New Roman"/>
          <w:sz w:val="28"/>
          <w:szCs w:val="28"/>
        </w:rPr>
      </w:r>
    </w:p>
    <w:sectPr>
      <w:headerReference w:type="even" r:id="rId2"/>
      <w:headerReference w:type="default" r:id="rId3"/>
      <w:headerReference w:type="first" r:id="rId4"/>
      <w:type w:val="nextPage"/>
      <w:pgSz w:w="11906" w:h="16838"/>
      <w:pgMar w:left="1701" w:right="851" w:gutter="0" w:header="567"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Segoe UI">
    <w:charset w:val="01" w:characterSet="utf-8"/>
    <w:family w:val="swiss"/>
    <w:pitch w:val="variable"/>
  </w:font>
  <w:font w:name="Times New Roman">
    <w:charset w:val="01" w:characterSet="utf-8"/>
    <w:family w:val="roman"/>
    <w:pitch w:val="variable"/>
  </w:font>
  <w:font w:name="Carlito">
    <w:altName w:val="Calibri"/>
    <w:charset w:val="01" w:characterSet="utf-8"/>
    <w:family w:val="swiss"/>
    <w:pitch w:val="variable"/>
  </w:font>
  <w:font w:name="Tahoma">
    <w:charset w:val="01" w:characterSet="utf-8"/>
    <w:family w:val="swiss"/>
    <w:pitch w:val="variable"/>
  </w:font>
  <w:font w:name="Times New Roman Bold">
    <w:charset w:val="01" w:characterSet="utf-8"/>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058621469"/>
    </w:sdtPr>
    <w:sdtContent>
      <w:p>
        <w:pPr>
          <w:pStyle w:val="Header"/>
          <w:jc w:val="center"/>
          <w:rPr>
            <w:sz w:val="28"/>
            <w:szCs w:val="28"/>
          </w:rPr>
        </w:pPr>
        <w:r>
          <w:rPr>
            <w:rFonts w:cs="Times New Roman" w:ascii="Times New Roman" w:hAnsi="Times New Roman"/>
            <w:sz w:val="28"/>
            <w:szCs w:val="28"/>
          </w:rPr>
          <w:fldChar w:fldCharType="begin"/>
        </w:r>
        <w:r>
          <w:rPr>
            <w:rFonts w:cs="Times New Roman" w:ascii="Times New Roman" w:hAnsi="Times New Roman"/>
            <w:sz w:val="28"/>
            <w:szCs w:val="28"/>
          </w:rPr>
          <w:instrText xml:space="preserve"> PAGE </w:instrText>
        </w:r>
        <w:r>
          <w:rPr>
            <w:rFonts w:cs="Times New Roman" w:ascii="Times New Roman" w:hAnsi="Times New Roman"/>
            <w:sz w:val="28"/>
            <w:szCs w:val="28"/>
          </w:rPr>
          <w:fldChar w:fldCharType="separate"/>
        </w:r>
        <w:r>
          <w:rPr>
            <w:rFonts w:cs="Times New Roman" w:ascii="Times New Roman" w:hAnsi="Times New Roman"/>
            <w:sz w:val="28"/>
            <w:szCs w:val="28"/>
          </w:rPr>
          <w:t>9</w:t>
        </w:r>
        <w:r>
          <w:rPr>
            <w:rFonts w:cs="Times New Roman" w:ascii="Times New Roman" w:hAnsi="Times New Roman"/>
            <w:sz w:val="28"/>
            <w:szCs w:val="28"/>
          </w:rPr>
          <w:fldChar w:fldCharType="end"/>
        </w:r>
      </w:p>
      <w:p>
        <w:pPr>
          <w:pStyle w:val="Header"/>
          <w:jc w:val="center"/>
          <w:rPr>
            <w:rFonts w:ascii="Times New Roman" w:hAnsi="Times New Roman" w:cs="Times New Roman"/>
          </w:rPr>
        </w:pPr>
        <w:r>
          <w:rPr>
            <w:rFonts w:cs="Times New Roman" w:ascii="Times New Roman" w:hAnsi="Times New Roman"/>
          </w:rPr>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6e115e"/>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6e115e"/>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unhideWhenUsed/>
    <w:qFormat/>
    <w:rsid w:val="006e115e"/>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unhideWhenUsed/>
    <w:qFormat/>
    <w:rsid w:val="006e115e"/>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6e115e"/>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6e115e"/>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6e115e"/>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6e115e"/>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6e115e"/>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e115e"/>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6e115e"/>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qFormat/>
    <w:rsid w:val="006e115e"/>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qFormat/>
    <w:rsid w:val="006e115e"/>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6e115e"/>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6e115e"/>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6e115e"/>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6e115e"/>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6e115e"/>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6e115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6e115e"/>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6e115e"/>
    <w:rPr>
      <w:i/>
      <w:iCs/>
      <w:color w:themeColor="text1" w:themeTint="bf" w:val="404040"/>
    </w:rPr>
  </w:style>
  <w:style w:type="character" w:styleId="IntenseEmphasis">
    <w:name w:val="Intense Emphasis"/>
    <w:basedOn w:val="DefaultParagraphFont"/>
    <w:uiPriority w:val="21"/>
    <w:qFormat/>
    <w:rsid w:val="006e115e"/>
    <w:rPr>
      <w:i/>
      <w:iCs/>
      <w:color w:themeColor="accent1" w:themeShade="bf" w:val="2F5496"/>
    </w:rPr>
  </w:style>
  <w:style w:type="character" w:styleId="IntenseQuoteChar" w:customStyle="1">
    <w:name w:val="Intense Quote Char"/>
    <w:basedOn w:val="DefaultParagraphFont"/>
    <w:link w:val="IntenseQuote"/>
    <w:uiPriority w:val="30"/>
    <w:qFormat/>
    <w:rsid w:val="006e115e"/>
    <w:rPr>
      <w:i/>
      <w:iCs/>
      <w:color w:themeColor="accent1" w:themeShade="bf" w:val="2F5496"/>
    </w:rPr>
  </w:style>
  <w:style w:type="character" w:styleId="IntenseReference">
    <w:name w:val="Intense Reference"/>
    <w:basedOn w:val="DefaultParagraphFont"/>
    <w:uiPriority w:val="32"/>
    <w:qFormat/>
    <w:rsid w:val="006e115e"/>
    <w:rPr>
      <w:b/>
      <w:bCs/>
      <w:smallCaps/>
      <w:color w:themeColor="accent1" w:themeShade="bf" w:val="2F5496"/>
      <w:spacing w:val="5"/>
    </w:rPr>
  </w:style>
  <w:style w:type="character" w:styleId="ng-star-inserted1" w:customStyle="1">
    <w:name w:val="ng-star-inserted1"/>
    <w:basedOn w:val="DefaultParagraphFont"/>
    <w:qFormat/>
    <w:rsid w:val="00d46c88"/>
    <w:rPr/>
  </w:style>
  <w:style w:type="character" w:styleId="HeaderChar" w:customStyle="1">
    <w:name w:val="Header Char"/>
    <w:basedOn w:val="DefaultParagraphFont"/>
    <w:link w:val="Header"/>
    <w:uiPriority w:val="99"/>
    <w:qFormat/>
    <w:rsid w:val="005d760c"/>
    <w:rPr/>
  </w:style>
  <w:style w:type="character" w:styleId="FooterChar" w:customStyle="1">
    <w:name w:val="Footer Char"/>
    <w:basedOn w:val="DefaultParagraphFont"/>
    <w:link w:val="Footer"/>
    <w:uiPriority w:val="99"/>
    <w:qFormat/>
    <w:rsid w:val="005d760c"/>
    <w:rPr/>
  </w:style>
  <w:style w:type="character" w:styleId="Strong">
    <w:name w:val="Strong"/>
    <w:basedOn w:val="DefaultParagraphFont"/>
    <w:uiPriority w:val="22"/>
    <w:qFormat/>
    <w:rsid w:val="00c50903"/>
    <w:rPr>
      <w:b/>
      <w:bCs/>
    </w:rPr>
  </w:style>
  <w:style w:type="character" w:styleId="BalloonTextChar" w:customStyle="1">
    <w:name w:val="Balloon Text Char"/>
    <w:basedOn w:val="DefaultParagraphFont"/>
    <w:link w:val="BalloonText"/>
    <w:uiPriority w:val="99"/>
    <w:semiHidden/>
    <w:qFormat/>
    <w:rsid w:val="00146483"/>
    <w:rPr>
      <w:rFonts w:ascii="Segoe UI" w:hAnsi="Segoe UI" w:cs="Segoe UI"/>
      <w:sz w:val="18"/>
      <w:szCs w:val="18"/>
    </w:rPr>
  </w:style>
  <w:style w:type="character" w:styleId="BodyTextChar1" w:customStyle="1">
    <w:name w:val="Body Text Char1"/>
    <w:basedOn w:val="DefaultParagraphFont"/>
    <w:uiPriority w:val="99"/>
    <w:qFormat/>
    <w:locked/>
    <w:rsid w:val="00a059ca"/>
    <w:rPr>
      <w:szCs w:val="26"/>
      <w:shd w:fill="FFFFFF" w:val="clear"/>
    </w:rPr>
  </w:style>
  <w:style w:type="character" w:styleId="BodyTextChar" w:customStyle="1">
    <w:name w:val="Body Text Char"/>
    <w:basedOn w:val="DefaultParagraphFont"/>
    <w:uiPriority w:val="99"/>
    <w:semiHidden/>
    <w:qFormat/>
    <w:rsid w:val="00a059ca"/>
    <w:rPr/>
  </w:style>
  <w:style w:type="character" w:styleId="fontstyle01" w:customStyle="1">
    <w:name w:val="fontstyle01"/>
    <w:basedOn w:val="DefaultParagraphFont"/>
    <w:qFormat/>
    <w:rsid w:val="0056205b"/>
    <w:rPr>
      <w:rFonts w:ascii="Times New Roman" w:hAnsi="Times New Roman" w:cs="Times New Roman"/>
      <w:b w:val="false"/>
      <w:bCs w:val="false"/>
      <w:i w:val="false"/>
      <w:iCs w:val="false"/>
      <w:color w:val="000000"/>
      <w:sz w:val="28"/>
      <w:szCs w:val="28"/>
    </w:rPr>
  </w:style>
  <w:style w:type="character" w:styleId="FootnoteTextChar" w:customStyle="1">
    <w:name w:val="Footnote Text Char"/>
    <w:basedOn w:val="DefaultParagraphFont"/>
    <w:link w:val="FootnoteText"/>
    <w:uiPriority w:val="99"/>
    <w:semiHidden/>
    <w:qFormat/>
    <w:rsid w:val="00f961f8"/>
    <w:rPr>
      <w:sz w:val="20"/>
      <w:szCs w:val="20"/>
    </w:rPr>
  </w:style>
  <w:style w:type="character" w:styleId="FootnoteCharacters">
    <w:name w:val="Footnote Characters"/>
    <w:basedOn w:val="DefaultParagraphFont"/>
    <w:uiPriority w:val="99"/>
    <w:semiHidden/>
    <w:unhideWhenUsed/>
    <w:qFormat/>
    <w:rsid w:val="00f961f8"/>
    <w:rPr>
      <w:vertAlign w:val="superscript"/>
    </w:rPr>
  </w:style>
  <w:style w:type="character" w:styleId="FootnoteReference">
    <w:name w:val="footnote reference"/>
    <w:rPr>
      <w:vertAlign w:val="superscript"/>
    </w:rPr>
  </w:style>
  <w:style w:type="character" w:styleId="Emphasis">
    <w:name w:val="Emphasis"/>
    <w:basedOn w:val="DefaultParagraphFont"/>
    <w:qFormat/>
    <w:rsid w:val="00987c6f"/>
    <w:rPr>
      <w:i/>
      <w:iCs/>
    </w:rPr>
  </w:style>
  <w:style w:type="paragraph" w:styleId="Heading">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link w:val="BodyTextChar1"/>
    <w:uiPriority w:val="99"/>
    <w:rsid w:val="00a059ca"/>
    <w:pPr>
      <w:widowControl w:val="false"/>
      <w:shd w:val="clear" w:color="auto" w:fill="FFFFFF"/>
      <w:spacing w:lineRule="exact" w:line="312" w:before="0" w:after="0"/>
      <w:jc w:val="both"/>
    </w:pPr>
    <w:rPr>
      <w:szCs w:val="26"/>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link w:val="TitleChar"/>
    <w:uiPriority w:val="10"/>
    <w:qFormat/>
    <w:rsid w:val="006e115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6e115e"/>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6e115e"/>
    <w:pPr>
      <w:spacing w:before="160" w:after="160"/>
      <w:jc w:val="center"/>
    </w:pPr>
    <w:rPr>
      <w:i/>
      <w:iCs/>
      <w:color w:themeColor="text1" w:themeTint="bf" w:val="404040"/>
    </w:rPr>
  </w:style>
  <w:style w:type="paragraph" w:styleId="ListParagraph">
    <w:name w:val="List Paragraph"/>
    <w:basedOn w:val="Normal"/>
    <w:uiPriority w:val="34"/>
    <w:qFormat/>
    <w:rsid w:val="006e115e"/>
    <w:pPr>
      <w:spacing w:before="0" w:after="160"/>
      <w:ind w:start="720"/>
      <w:contextualSpacing/>
    </w:pPr>
    <w:rPr/>
  </w:style>
  <w:style w:type="paragraph" w:styleId="IntenseQuote">
    <w:name w:val="Intense Quote"/>
    <w:basedOn w:val="Normal"/>
    <w:next w:val="Normal"/>
    <w:link w:val="IntenseQuoteChar"/>
    <w:uiPriority w:val="30"/>
    <w:qFormat/>
    <w:rsid w:val="006e115e"/>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msonormal" w:customStyle="1">
    <w:name w:val="msonormal"/>
    <w:basedOn w:val="Normal"/>
    <w:qFormat/>
    <w:rsid w:val="006e115e"/>
    <w:pPr>
      <w:spacing w:lineRule="auto" w:line="240" w:beforeAutospacing="1" w:afterAutospacing="1"/>
    </w:pPr>
    <w:rPr>
      <w:rFonts w:ascii="Times New Roman" w:hAnsi="Times New Roman" w:eastAsia="Times New Roman" w:cs="Times New Roman"/>
      <w:kern w:val="0"/>
      <w14:ligatures w14:val="none"/>
    </w:rPr>
  </w:style>
  <w:style w:type="paragraph" w:styleId="NormalWeb">
    <w:name w:val="Normal (Web)"/>
    <w:basedOn w:val="Normal"/>
    <w:uiPriority w:val="99"/>
    <w:semiHidden/>
    <w:unhideWhenUsed/>
    <w:qFormat/>
    <w:rsid w:val="006e115e"/>
    <w:pPr>
      <w:spacing w:lineRule="auto" w:line="240" w:beforeAutospacing="1" w:afterAutospacing="1"/>
    </w:pPr>
    <w:rPr>
      <w:rFonts w:ascii="Times New Roman" w:hAnsi="Times New Roman" w:eastAsia="Times New Roman" w:cs="Times New Roman"/>
      <w:kern w:val="0"/>
      <w14:ligatures w14:val="none"/>
    </w:rPr>
  </w:style>
  <w:style w:type="paragraph" w:styleId="ng-star-inserted" w:customStyle="1">
    <w:name w:val="ng-star-inserted"/>
    <w:basedOn w:val="Normal"/>
    <w:qFormat/>
    <w:rsid w:val="00d46c88"/>
    <w:pPr>
      <w:spacing w:lineRule="auto" w:line="240" w:beforeAutospacing="1" w:afterAutospacing="1"/>
    </w:pPr>
    <w:rPr>
      <w:rFonts w:ascii="Times New Roman" w:hAnsi="Times New Roman" w:eastAsia="Times New Roman" w:cs="Times New Roman"/>
      <w:kern w:val="0"/>
      <w14:ligatures w14:val="none"/>
    </w:rPr>
  </w:style>
  <w:style w:type="paragraph" w:styleId="HeaderandFooter">
    <w:name w:val="Header and Footer"/>
    <w:basedOn w:val="Normal"/>
    <w:qFormat/>
    <w:pPr/>
    <w:rPr/>
  </w:style>
  <w:style w:type="paragraph" w:styleId="Header">
    <w:name w:val="header"/>
    <w:basedOn w:val="Normal"/>
    <w:link w:val="HeaderChar"/>
    <w:uiPriority w:val="99"/>
    <w:unhideWhenUsed/>
    <w:rsid w:val="005d760c"/>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d760c"/>
    <w:pPr>
      <w:tabs>
        <w:tab w:val="clear" w:pos="720"/>
        <w:tab w:val="center" w:pos="4680" w:leader="none"/>
        <w:tab w:val="right" w:pos="9360" w:leader="none"/>
      </w:tabs>
      <w:spacing w:lineRule="auto" w:line="240" w:before="0" w:after="0"/>
    </w:pPr>
    <w:rPr/>
  </w:style>
  <w:style w:type="paragraph" w:styleId="CharChar" w:customStyle="1">
    <w:name w:val="Char Char"/>
    <w:basedOn w:val="Normal"/>
    <w:qFormat/>
    <w:rsid w:val="00de5e01"/>
    <w:pPr>
      <w:pageBreakBefore/>
      <w:spacing w:lineRule="auto" w:line="240" w:beforeAutospacing="1" w:afterAutospacing="1"/>
      <w:jc w:val="both"/>
    </w:pPr>
    <w:rPr>
      <w:rFonts w:ascii="Tahoma" w:hAnsi="Tahoma" w:eastAsia="Times New Roman" w:cs="Times New Roman"/>
      <w:kern w:val="0"/>
      <w:sz w:val="20"/>
      <w:szCs w:val="20"/>
      <w14:ligatures w14:val="none"/>
    </w:rPr>
  </w:style>
  <w:style w:type="paragraph" w:styleId="BalloonText">
    <w:name w:val="Balloon Text"/>
    <w:basedOn w:val="Normal"/>
    <w:link w:val="BalloonTextChar"/>
    <w:uiPriority w:val="99"/>
    <w:semiHidden/>
    <w:unhideWhenUsed/>
    <w:qFormat/>
    <w:rsid w:val="00146483"/>
    <w:pPr>
      <w:spacing w:lineRule="auto" w:line="240" w:before="0" w:after="0"/>
    </w:pPr>
    <w:rPr>
      <w:rFonts w:ascii="Segoe UI" w:hAnsi="Segoe UI" w:cs="Segoe UI"/>
      <w:sz w:val="18"/>
      <w:szCs w:val="18"/>
    </w:rPr>
  </w:style>
  <w:style w:type="paragraph" w:styleId="FootnoteText">
    <w:name w:val="footnote text"/>
    <w:basedOn w:val="Normal"/>
    <w:link w:val="FootnoteTextChar"/>
    <w:uiPriority w:val="99"/>
    <w:semiHidden/>
    <w:unhideWhenUsed/>
    <w:rsid w:val="00f961f8"/>
    <w:pPr>
      <w:spacing w:lineRule="auto" w:line="240" w:before="0" w:after="0"/>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d46c88"/>
    <w:pPr>
      <w:spacing w:after="0" w:line="240" w:lineRule="auto"/>
    </w:pPr>
    <w:rPr>
      <w:sz w:val="28"/>
      <w:szCs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337F2-B84F-4A7E-A691-44A0913ED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Application>Collabora_Office/25.04.7.3$Linux_X86_64 LibreOffice_project/4ad7ba32450f0eb1454046b82758d431ed76787a</Application>
  <AppVersion>15.0000</AppVersion>
  <Pages>9</Pages>
  <Words>5261</Words>
  <Characters>19522</Characters>
  <CharactersWithSpaces>24877</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2026-08-26T07:38:00Z</dcterms:created>
  <dc:creator>nguyen khanh</dc:creator>
  <dc:description/>
  <dc:language>en-US</dc:language>
  <cp:lastModifiedBy/>
  <cp:lastPrinted>2025-10-01T08:35:00Z</cp:lastPrinted>
  <dcterms:modified xsi:type="dcterms:W3CDTF">2026-08-26T16:01:10Z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